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sz w:val="36"/>
          <w:szCs w:val="36"/>
        </w:rPr>
      </w:pPr>
      <w:r>
        <w:rPr>
          <w:rFonts w:hint="eastAsia" w:ascii="宋体" w:hAnsi="宋体" w:cs="宋体"/>
          <w:b/>
          <w:bCs/>
          <w:color w:val="000000"/>
          <w:sz w:val="32"/>
          <w:szCs w:val="32"/>
        </w:rPr>
        <w:t>辽宁工业大学校园快递集中派送服务项目</w:t>
      </w:r>
    </w:p>
    <w:p>
      <w:pPr>
        <w:jc w:val="center"/>
        <w:rPr>
          <w:rFonts w:ascii="宋体" w:hAnsi="宋体" w:cs="宋体"/>
          <w:b/>
          <w:sz w:val="44"/>
          <w:szCs w:val="44"/>
        </w:rPr>
      </w:pPr>
      <w:r>
        <w:rPr>
          <w:rFonts w:hint="eastAsia" w:ascii="宋体" w:hAnsi="宋体" w:cs="宋体"/>
          <w:b/>
          <w:bCs/>
          <w:color w:val="000000"/>
          <w:sz w:val="36"/>
          <w:szCs w:val="36"/>
        </w:rPr>
        <w:t>招标</w:t>
      </w:r>
      <w:r>
        <w:rPr>
          <w:rFonts w:hint="eastAsia" w:ascii="宋体" w:hAnsi="宋体" w:cs="宋体"/>
          <w:b/>
          <w:sz w:val="36"/>
          <w:szCs w:val="36"/>
        </w:rPr>
        <w:t>文件</w:t>
      </w:r>
    </w:p>
    <w:p>
      <w:pPr>
        <w:spacing w:beforeLines="50"/>
        <w:ind w:firstLine="414" w:firstLineChars="148"/>
        <w:jc w:val="center"/>
        <w:rPr>
          <w:rFonts w:ascii="宋体" w:hAnsi="宋体" w:cs="宋体"/>
          <w:bCs/>
          <w:sz w:val="28"/>
          <w:szCs w:val="28"/>
        </w:rPr>
      </w:pPr>
    </w:p>
    <w:p>
      <w:pPr>
        <w:spacing w:beforeLines="50"/>
        <w:ind w:firstLine="414" w:firstLineChars="148"/>
        <w:jc w:val="center"/>
        <w:rPr>
          <w:rFonts w:ascii="宋体" w:hAnsi="宋体" w:cs="宋体"/>
          <w:bCs/>
          <w:sz w:val="28"/>
          <w:szCs w:val="28"/>
        </w:rPr>
      </w:pPr>
    </w:p>
    <w:p>
      <w:pPr>
        <w:widowControl/>
        <w:numPr>
          <w:ilvl w:val="0"/>
          <w:numId w:val="1"/>
        </w:numPr>
        <w:spacing w:before="100" w:beforeAutospacing="1" w:after="156" w:line="900" w:lineRule="exact"/>
        <w:rPr>
          <w:rStyle w:val="5"/>
          <w:rFonts w:ascii="宋体" w:hAnsi="宋体" w:cs="宋体"/>
          <w:kern w:val="0"/>
          <w:sz w:val="36"/>
          <w:szCs w:val="36"/>
        </w:rPr>
      </w:pPr>
      <w:r>
        <w:rPr>
          <w:rFonts w:hint="eastAsia" w:ascii="宋体" w:hAnsi="宋体" w:cs="宋体"/>
          <w:b/>
          <w:sz w:val="32"/>
          <w:szCs w:val="32"/>
        </w:rPr>
        <w:t>招标项目简介</w:t>
      </w:r>
    </w:p>
    <w:p>
      <w:pPr>
        <w:numPr>
          <w:ilvl w:val="0"/>
          <w:numId w:val="1"/>
        </w:numPr>
        <w:spacing w:line="900" w:lineRule="exact"/>
        <w:rPr>
          <w:rFonts w:ascii="宋体" w:hAnsi="宋体" w:cs="宋体"/>
          <w:b/>
          <w:sz w:val="32"/>
          <w:szCs w:val="32"/>
        </w:rPr>
      </w:pPr>
      <w:r>
        <w:rPr>
          <w:rFonts w:hint="eastAsia" w:ascii="宋体" w:hAnsi="宋体" w:cs="宋体"/>
          <w:b/>
          <w:sz w:val="32"/>
          <w:szCs w:val="32"/>
        </w:rPr>
        <w:t>招租项目要求</w:t>
      </w:r>
    </w:p>
    <w:p>
      <w:pPr>
        <w:numPr>
          <w:ilvl w:val="0"/>
          <w:numId w:val="1"/>
        </w:numPr>
        <w:spacing w:line="900" w:lineRule="exact"/>
        <w:rPr>
          <w:rFonts w:ascii="宋体" w:hAnsi="宋体" w:cs="宋体"/>
          <w:b/>
          <w:sz w:val="32"/>
          <w:szCs w:val="32"/>
        </w:rPr>
      </w:pPr>
      <w:r>
        <w:rPr>
          <w:rFonts w:hint="eastAsia" w:ascii="宋体" w:hAnsi="宋体" w:cs="宋体"/>
          <w:b/>
          <w:sz w:val="32"/>
          <w:szCs w:val="32"/>
        </w:rPr>
        <w:t>投标须知</w:t>
      </w:r>
    </w:p>
    <w:p>
      <w:pPr>
        <w:numPr>
          <w:ilvl w:val="0"/>
          <w:numId w:val="1"/>
        </w:numPr>
        <w:spacing w:line="900" w:lineRule="exact"/>
        <w:rPr>
          <w:rFonts w:ascii="宋体" w:hAnsi="宋体" w:cs="宋体"/>
          <w:b/>
          <w:sz w:val="32"/>
          <w:szCs w:val="32"/>
        </w:rPr>
      </w:pPr>
      <w:r>
        <w:rPr>
          <w:rFonts w:hint="eastAsia" w:ascii="宋体" w:hAnsi="宋体" w:cs="宋体"/>
          <w:b/>
          <w:sz w:val="32"/>
          <w:szCs w:val="32"/>
        </w:rPr>
        <w:t>投标书</w:t>
      </w:r>
    </w:p>
    <w:p>
      <w:pPr>
        <w:widowControl/>
        <w:numPr>
          <w:ilvl w:val="0"/>
          <w:numId w:val="1"/>
        </w:numPr>
        <w:spacing w:before="100" w:beforeAutospacing="1" w:after="156" w:line="900" w:lineRule="exact"/>
        <w:rPr>
          <w:rFonts w:hint="eastAsia" w:ascii="宋体" w:hAnsi="宋体" w:cs="宋体"/>
          <w:b/>
          <w:kern w:val="0"/>
          <w:sz w:val="36"/>
          <w:szCs w:val="36"/>
        </w:rPr>
      </w:pPr>
      <w:r>
        <w:rPr>
          <w:rFonts w:hint="eastAsia" w:ascii="宋体" w:hAnsi="宋体" w:cs="宋体"/>
          <w:b/>
          <w:sz w:val="32"/>
          <w:szCs w:val="32"/>
        </w:rPr>
        <w:t>投标人基本情况表</w:t>
      </w:r>
    </w:p>
    <w:p>
      <w:pPr>
        <w:widowControl/>
        <w:numPr>
          <w:ilvl w:val="0"/>
          <w:numId w:val="1"/>
        </w:numPr>
        <w:spacing w:before="100" w:beforeAutospacing="1" w:after="156" w:line="900" w:lineRule="exact"/>
        <w:rPr>
          <w:rFonts w:ascii="宋体" w:hAnsi="宋体" w:cs="宋体"/>
          <w:b/>
          <w:sz w:val="32"/>
          <w:szCs w:val="32"/>
        </w:rPr>
      </w:pPr>
      <w:r>
        <w:rPr>
          <w:rFonts w:hint="eastAsia" w:ascii="宋体" w:hAnsi="宋体" w:cs="宋体"/>
          <w:b/>
          <w:sz w:val="32"/>
          <w:szCs w:val="32"/>
        </w:rPr>
        <w:t>评分标准</w:t>
      </w:r>
    </w:p>
    <w:p>
      <w:pPr>
        <w:widowControl/>
        <w:spacing w:before="100" w:beforeAutospacing="1" w:after="156" w:line="640" w:lineRule="atLeast"/>
        <w:jc w:val="center"/>
        <w:rPr>
          <w:rStyle w:val="5"/>
          <w:rFonts w:ascii="宋体" w:hAnsi="宋体" w:cs="宋体"/>
          <w:kern w:val="0"/>
          <w:sz w:val="36"/>
          <w:szCs w:val="36"/>
        </w:rPr>
      </w:pPr>
    </w:p>
    <w:p>
      <w:pPr>
        <w:widowControl/>
        <w:spacing w:before="100" w:beforeAutospacing="1" w:after="156" w:line="640" w:lineRule="atLeast"/>
        <w:jc w:val="center"/>
        <w:rPr>
          <w:rStyle w:val="5"/>
          <w:rFonts w:ascii="宋体" w:hAnsi="宋体" w:cs="宋体"/>
          <w:kern w:val="0"/>
          <w:sz w:val="36"/>
          <w:szCs w:val="36"/>
        </w:rPr>
      </w:pPr>
    </w:p>
    <w:p>
      <w:pPr>
        <w:widowControl/>
        <w:spacing w:before="100" w:beforeAutospacing="1" w:after="156" w:line="640" w:lineRule="atLeast"/>
        <w:jc w:val="center"/>
        <w:rPr>
          <w:rStyle w:val="5"/>
          <w:rFonts w:ascii="宋体" w:hAnsi="宋体" w:cs="宋体"/>
          <w:kern w:val="0"/>
          <w:sz w:val="36"/>
          <w:szCs w:val="36"/>
        </w:rPr>
      </w:pPr>
    </w:p>
    <w:p>
      <w:pPr>
        <w:widowControl/>
        <w:spacing w:before="100" w:beforeAutospacing="1" w:after="156" w:line="640" w:lineRule="atLeast"/>
        <w:rPr>
          <w:rStyle w:val="5"/>
          <w:rFonts w:hint="eastAsia" w:ascii="宋体" w:hAnsi="宋体" w:cs="宋体"/>
          <w:kern w:val="0"/>
          <w:sz w:val="36"/>
          <w:szCs w:val="36"/>
        </w:rPr>
      </w:pPr>
    </w:p>
    <w:p>
      <w:pPr>
        <w:widowControl/>
        <w:spacing w:before="100" w:beforeAutospacing="1" w:after="156" w:line="640" w:lineRule="atLeast"/>
        <w:rPr>
          <w:rStyle w:val="5"/>
          <w:rFonts w:ascii="宋体" w:hAnsi="宋体" w:cs="宋体"/>
          <w:kern w:val="0"/>
          <w:sz w:val="36"/>
          <w:szCs w:val="36"/>
        </w:rPr>
      </w:pPr>
    </w:p>
    <w:p>
      <w:pPr>
        <w:widowControl/>
        <w:spacing w:before="100" w:beforeAutospacing="1" w:after="100" w:afterAutospacing="1" w:line="640" w:lineRule="atLeast"/>
        <w:ind w:firstLine="643"/>
        <w:jc w:val="center"/>
        <w:rPr>
          <w:rFonts w:asciiTheme="majorEastAsia" w:hAnsiTheme="majorEastAsia" w:eastAsiaTheme="majorEastAsia"/>
        </w:rPr>
      </w:pPr>
      <w:r>
        <w:rPr>
          <w:rStyle w:val="5"/>
          <w:rFonts w:hint="eastAsia" w:cs="仿宋" w:asciiTheme="majorEastAsia" w:hAnsiTheme="majorEastAsia" w:eastAsiaTheme="majorEastAsia"/>
          <w:kern w:val="0"/>
          <w:sz w:val="32"/>
          <w:szCs w:val="32"/>
        </w:rPr>
        <w:t>招标项目简介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1.项目概述</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辽宁工业大学占地面积1000余亩，在校师生约1.8万人，每天包裹寄递流量大约2500-3000件，为做好校园快递集中服务管理工作，消除校内快递各种乱象和隐患，提升校园快递服务质量，学校拟提供北十一学生公寓楼北侧房屋一处（原预备役食堂位置，建筑面积120㎡），通过本次招标选取一家第三方服务机构，由其自行投资改造快递服务站、建设智能投递柜，并整合现有分散在校园内外的各家快递类企业，负责校园快递运营和管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2、房屋基本情况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位于北十一学生公寓楼北侧房屋（原预备役食堂位置，建筑面积  120㎡）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3.装饰装修约定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房屋的基础设施改造（水、电、暖、房顶改造）、装饰装修由中标人负责，但装修规模、范围、工艺、用料等须经学校审核同意。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4.房屋使用范围及要求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北十一学生公寓楼北侧房屋只限用于从事寄递物流业有关的经营活动。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不得超范围经营，不得以转租、转让等形式，将校方提供的房屋供第三人使用。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投标人中标后，经营场所名称须经学校保卫处审批后方可使用。经营所需的相关许可等由承租人自行办理。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二、经营期限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房屋租赁期为三年，自2018年8月起至2021年8月止。</w:t>
      </w:r>
    </w:p>
    <w:p>
      <w:pPr>
        <w:ind w:firstLine="560" w:firstLineChars="200"/>
        <w:rPr>
          <w:rFonts w:ascii="仿宋" w:hAnsi="仿宋" w:eastAsia="仿宋"/>
          <w:sz w:val="28"/>
          <w:szCs w:val="28"/>
        </w:rPr>
      </w:pPr>
      <w:r>
        <w:rPr>
          <w:rFonts w:hint="eastAsia" w:ascii="仿宋" w:hAnsi="仿宋" w:eastAsia="仿宋"/>
          <w:sz w:val="28"/>
          <w:szCs w:val="28"/>
        </w:rPr>
        <w:t>合同期为3年，自2018年8月起至2021年8月止，每年续签，合同期内校方面向师生，每年进行不少于两次的服务满意度调查，服务满意度加权达到80%，可续签合同，但总期限最长不超过3年。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承包期内，被政府有关行政管理部门吊销执照、受到处罚或不履行承诺违反学校规定者，终止服务合同。因学校规划建设需要，可提前解除合同。</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560" w:lineRule="exact"/>
        <w:jc w:val="center"/>
        <w:rPr>
          <w:rFonts w:ascii="宋体" w:hAnsi="宋体" w:cs="宋体"/>
          <w:b/>
          <w:sz w:val="32"/>
          <w:szCs w:val="32"/>
        </w:rPr>
      </w:pPr>
      <w:r>
        <w:rPr>
          <w:rFonts w:hint="eastAsia" w:ascii="宋体" w:hAnsi="宋体" w:cs="宋体"/>
          <w:b/>
          <w:sz w:val="32"/>
          <w:szCs w:val="32"/>
        </w:rPr>
        <w:t>招标项目基本内容及要求</w:t>
      </w:r>
    </w:p>
    <w:p>
      <w:pPr>
        <w:spacing w:line="560" w:lineRule="exact"/>
        <w:jc w:val="center"/>
        <w:rPr>
          <w:rFonts w:ascii="宋体" w:hAnsi="宋体" w:cs="宋体"/>
          <w:b/>
          <w:sz w:val="36"/>
          <w:szCs w:val="36"/>
        </w:rPr>
      </w:pPr>
    </w:p>
    <w:p>
      <w:pPr>
        <w:ind w:firstLine="600" w:firstLineChars="200"/>
        <w:jc w:val="left"/>
        <w:rPr>
          <w:rFonts w:ascii="仿宋" w:hAnsi="仿宋" w:eastAsia="仿宋" w:cs="宋体"/>
          <w:sz w:val="30"/>
          <w:szCs w:val="30"/>
        </w:rPr>
      </w:pPr>
      <w:r>
        <w:rPr>
          <w:rFonts w:hint="eastAsia" w:ascii="仿宋" w:hAnsi="仿宋" w:eastAsia="仿宋" w:cs="宋体"/>
          <w:sz w:val="30"/>
          <w:szCs w:val="30"/>
        </w:rPr>
        <w:t>本次招标为校园寄递物流整合，投标方需提供符合本次招标要求的一切证件原件及承诺书</w:t>
      </w:r>
      <w:r>
        <w:rPr>
          <w:rFonts w:hint="eastAsia" w:ascii="仿宋" w:hAnsi="仿宋" w:eastAsia="仿宋" w:cs="宋体"/>
          <w:color w:val="000000"/>
          <w:sz w:val="30"/>
          <w:szCs w:val="30"/>
        </w:rPr>
        <w:t>原件</w:t>
      </w:r>
      <w:r>
        <w:rPr>
          <w:rFonts w:hint="eastAsia" w:ascii="仿宋" w:hAnsi="仿宋" w:eastAsia="仿宋" w:cs="宋体"/>
          <w:sz w:val="30"/>
          <w:szCs w:val="30"/>
        </w:rPr>
        <w:t>。</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投标方要求为信誉好，有经营实力的公司法人。</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合同由中标方与招租方双方签订，签订合同时提供</w:t>
      </w:r>
      <w:r>
        <w:rPr>
          <w:rFonts w:hint="eastAsia" w:ascii="仿宋" w:hAnsi="仿宋" w:eastAsia="仿宋" w:cs="宋体"/>
          <w:kern w:val="0"/>
          <w:sz w:val="30"/>
          <w:szCs w:val="30"/>
        </w:rPr>
        <w:t>各快递物流公司业务授权</w:t>
      </w:r>
      <w:r>
        <w:rPr>
          <w:rFonts w:hint="eastAsia" w:ascii="仿宋" w:hAnsi="仿宋" w:eastAsia="仿宋" w:cs="宋体"/>
          <w:sz w:val="30"/>
          <w:szCs w:val="30"/>
        </w:rPr>
        <w:t>。</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学校提供房屋基础设施条件基于现有实际条件为标准，改造及装修设计由投标方负责。</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投标方提供房屋改造费用清单、设备设施投入清单和装修设计方案</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房合同到期后，房屋装修改造归学校所有，中标方应保持房屋完整。</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投标方提供业务运行管理方案</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智能快递柜投放地点按照学校指定位置投放，快递柜储物格数量在1500—2000个。</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投标方必须由投标法人代表或委托代理人（具有授权书）参加投标、随时接受评委询问，并予以解答。</w:t>
      </w: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widowControl/>
        <w:spacing w:before="100" w:beforeAutospacing="1" w:after="156" w:line="640" w:lineRule="atLeast"/>
        <w:rPr>
          <w:rStyle w:val="5"/>
          <w:rFonts w:ascii="宋体" w:hAnsi="宋体" w:cs="宋体"/>
          <w:kern w:val="0"/>
          <w:sz w:val="30"/>
          <w:szCs w:val="30"/>
        </w:rPr>
      </w:pPr>
    </w:p>
    <w:p>
      <w:pPr>
        <w:widowControl/>
        <w:spacing w:before="100" w:beforeAutospacing="1" w:after="100" w:afterAutospacing="1" w:line="640" w:lineRule="atLeast"/>
        <w:ind w:firstLine="640"/>
        <w:jc w:val="center"/>
        <w:rPr>
          <w:rFonts w:ascii="宋体" w:hAnsi="宋体" w:cs="宋体"/>
          <w:b/>
          <w:sz w:val="32"/>
          <w:szCs w:val="32"/>
        </w:rPr>
      </w:pPr>
      <w:r>
        <w:rPr>
          <w:rFonts w:hint="eastAsia" w:ascii="宋体" w:hAnsi="宋体" w:cs="宋体"/>
          <w:b/>
          <w:sz w:val="32"/>
          <w:szCs w:val="32"/>
        </w:rPr>
        <w:t>投标须知</w:t>
      </w:r>
    </w:p>
    <w:p>
      <w:pPr>
        <w:spacing w:beforeLines="100" w:afterLines="100" w:line="460" w:lineRule="exact"/>
        <w:outlineLvl w:val="0"/>
        <w:rPr>
          <w:rFonts w:ascii="仿宋" w:hAnsi="仿宋" w:eastAsia="仿宋" w:cs="宋体"/>
          <w:b/>
          <w:bCs/>
          <w:sz w:val="28"/>
        </w:rPr>
      </w:pPr>
      <w:r>
        <w:rPr>
          <w:rFonts w:hint="eastAsia" w:ascii="仿宋" w:hAnsi="仿宋" w:eastAsia="仿宋" w:cs="宋体"/>
          <w:b/>
          <w:bCs/>
          <w:sz w:val="28"/>
        </w:rPr>
        <w:t>一、说明</w:t>
      </w:r>
    </w:p>
    <w:p>
      <w:pPr>
        <w:spacing w:beforeLines="100" w:afterLines="100" w:line="460" w:lineRule="exact"/>
        <w:ind w:firstLine="560"/>
        <w:rPr>
          <w:rFonts w:ascii="仿宋" w:hAnsi="仿宋" w:eastAsia="仿宋" w:cs="宋体"/>
          <w:color w:val="000000"/>
          <w:sz w:val="28"/>
        </w:rPr>
      </w:pPr>
      <w:r>
        <w:rPr>
          <w:rFonts w:hint="eastAsia" w:ascii="仿宋" w:hAnsi="仿宋" w:eastAsia="仿宋" w:cs="宋体"/>
          <w:sz w:val="28"/>
        </w:rPr>
        <w:t>1．适用范围：本招标文件仅适用于本次投标公告中所叙述项目内容</w:t>
      </w:r>
      <w:r>
        <w:rPr>
          <w:rFonts w:hint="eastAsia" w:ascii="仿宋" w:hAnsi="仿宋" w:eastAsia="仿宋" w:cs="宋体"/>
          <w:color w:val="000000"/>
          <w:sz w:val="28"/>
        </w:rPr>
        <w:t>。</w:t>
      </w:r>
    </w:p>
    <w:p>
      <w:pPr>
        <w:spacing w:beforeLines="100" w:afterLines="100" w:line="460" w:lineRule="exact"/>
        <w:ind w:firstLine="560"/>
        <w:rPr>
          <w:rFonts w:ascii="仿宋" w:hAnsi="仿宋" w:eastAsia="仿宋" w:cs="宋体"/>
          <w:color w:val="000000"/>
          <w:sz w:val="28"/>
        </w:rPr>
      </w:pPr>
      <w:r>
        <w:rPr>
          <w:rFonts w:hint="eastAsia" w:ascii="仿宋" w:hAnsi="仿宋" w:eastAsia="仿宋" w:cs="宋体"/>
          <w:color w:val="000000"/>
          <w:sz w:val="28"/>
        </w:rPr>
        <w:t>2．定义：</w:t>
      </w:r>
    </w:p>
    <w:p>
      <w:pPr>
        <w:spacing w:beforeLines="100" w:afterLines="100" w:line="460" w:lineRule="exact"/>
        <w:rPr>
          <w:rFonts w:ascii="仿宋" w:hAnsi="仿宋" w:eastAsia="仿宋" w:cs="宋体"/>
          <w:color w:val="000000"/>
          <w:sz w:val="28"/>
        </w:rPr>
      </w:pPr>
      <w:r>
        <w:rPr>
          <w:rFonts w:hint="eastAsia" w:ascii="仿宋" w:hAnsi="仿宋" w:eastAsia="仿宋" w:cs="宋体"/>
          <w:color w:val="000000"/>
          <w:sz w:val="24"/>
        </w:rPr>
        <w:t xml:space="preserve"> 2.1</w:t>
      </w:r>
      <w:r>
        <w:rPr>
          <w:rFonts w:hint="eastAsia" w:ascii="仿宋" w:hAnsi="仿宋" w:eastAsia="仿宋" w:cs="宋体"/>
          <w:color w:val="000000"/>
          <w:sz w:val="28"/>
        </w:rPr>
        <w:t>“招标方”系指组织本次招标的招标机构。</w:t>
      </w:r>
    </w:p>
    <w:p>
      <w:pPr>
        <w:spacing w:beforeLines="100" w:afterLines="100" w:line="460" w:lineRule="exact"/>
        <w:rPr>
          <w:rFonts w:ascii="仿宋" w:hAnsi="仿宋" w:eastAsia="仿宋" w:cs="宋体"/>
          <w:color w:val="000000"/>
          <w:sz w:val="28"/>
        </w:rPr>
      </w:pPr>
      <w:r>
        <w:rPr>
          <w:rFonts w:hint="eastAsia" w:ascii="仿宋" w:hAnsi="仿宋" w:eastAsia="仿宋" w:cs="宋体"/>
          <w:color w:val="000000"/>
          <w:sz w:val="24"/>
        </w:rPr>
        <w:t xml:space="preserve"> 2.2</w:t>
      </w:r>
      <w:r>
        <w:rPr>
          <w:rFonts w:hint="eastAsia" w:ascii="仿宋" w:hAnsi="仿宋" w:eastAsia="仿宋" w:cs="宋体"/>
          <w:color w:val="000000"/>
          <w:sz w:val="28"/>
        </w:rPr>
        <w:t>“投标方”系指向招标方提交投标文件的招租方。</w:t>
      </w:r>
    </w:p>
    <w:p>
      <w:pPr>
        <w:spacing w:beforeLines="100" w:afterLines="100" w:line="460" w:lineRule="exact"/>
        <w:ind w:firstLine="560"/>
        <w:rPr>
          <w:rFonts w:ascii="仿宋" w:hAnsi="仿宋" w:eastAsia="仿宋" w:cs="宋体"/>
          <w:color w:val="000000"/>
          <w:sz w:val="28"/>
        </w:rPr>
      </w:pPr>
      <w:r>
        <w:rPr>
          <w:rFonts w:hint="eastAsia" w:ascii="仿宋" w:hAnsi="仿宋" w:eastAsia="仿宋" w:cs="宋体"/>
          <w:color w:val="000000"/>
          <w:sz w:val="28"/>
        </w:rPr>
        <w:t>3．合格的投标方：凡有能力自主经营的公司法人为合格的投标方，投标方应遵守有关的法律、法规。</w:t>
      </w:r>
    </w:p>
    <w:p>
      <w:pPr>
        <w:spacing w:beforeLines="100" w:afterLines="100" w:line="460" w:lineRule="exact"/>
        <w:ind w:firstLine="560"/>
        <w:rPr>
          <w:rFonts w:ascii="仿宋" w:hAnsi="仿宋" w:eastAsia="仿宋" w:cs="宋体"/>
          <w:sz w:val="28"/>
          <w:szCs w:val="28"/>
        </w:rPr>
      </w:pPr>
      <w:r>
        <w:rPr>
          <w:rFonts w:hint="eastAsia" w:ascii="仿宋" w:hAnsi="仿宋" w:eastAsia="仿宋" w:cs="宋体"/>
          <w:color w:val="000000"/>
          <w:sz w:val="28"/>
        </w:rPr>
        <w:t>4</w:t>
      </w:r>
      <w:r>
        <w:rPr>
          <w:rFonts w:hint="eastAsia" w:ascii="仿宋" w:hAnsi="仿宋" w:eastAsia="仿宋" w:cs="宋体"/>
          <w:sz w:val="28"/>
        </w:rPr>
        <w:t>．</w:t>
      </w:r>
      <w:r>
        <w:rPr>
          <w:rFonts w:hint="eastAsia" w:ascii="仿宋" w:hAnsi="仿宋" w:eastAsia="仿宋" w:cs="宋体"/>
          <w:sz w:val="28"/>
          <w:szCs w:val="28"/>
        </w:rPr>
        <w:t>标书售价：每份人民币贰佰元整（￥200 .00 元）。</w:t>
      </w:r>
    </w:p>
    <w:p>
      <w:pPr>
        <w:spacing w:beforeLines="100" w:afterLines="100" w:line="460" w:lineRule="exact"/>
        <w:ind w:firstLine="560"/>
        <w:rPr>
          <w:rFonts w:ascii="仿宋" w:hAnsi="仿宋" w:eastAsia="仿宋" w:cs="宋体"/>
          <w:color w:val="000000"/>
          <w:sz w:val="28"/>
        </w:rPr>
      </w:pPr>
      <w:r>
        <w:rPr>
          <w:rFonts w:hint="eastAsia" w:ascii="仿宋" w:hAnsi="仿宋" w:eastAsia="仿宋" w:cs="宋体"/>
          <w:color w:val="000000"/>
          <w:sz w:val="28"/>
        </w:rPr>
        <w:t>5．投标费用：无论投标过程中的作法和结果如何，投标方自行承担所有与参加投标有关的费用。</w:t>
      </w:r>
    </w:p>
    <w:p>
      <w:pPr>
        <w:spacing w:beforeLines="100" w:afterLines="100" w:line="460" w:lineRule="exact"/>
        <w:ind w:firstLine="560"/>
        <w:rPr>
          <w:rFonts w:ascii="仿宋" w:hAnsi="仿宋" w:eastAsia="仿宋" w:cs="宋体"/>
          <w:sz w:val="28"/>
        </w:rPr>
      </w:pPr>
      <w:r>
        <w:rPr>
          <w:rFonts w:hint="eastAsia" w:ascii="仿宋" w:hAnsi="仿宋" w:eastAsia="仿宋" w:cs="宋体"/>
          <w:color w:val="000000"/>
          <w:sz w:val="28"/>
        </w:rPr>
        <w:t>6．投标报名时，投标方需提供</w:t>
      </w:r>
      <w:r>
        <w:rPr>
          <w:rFonts w:hint="eastAsia" w:ascii="仿宋" w:hAnsi="仿宋" w:eastAsia="仿宋" w:cs="宋体"/>
          <w:sz w:val="28"/>
        </w:rPr>
        <w:t>营业执照、组织机构代码证、税务登记证，授权委托书</w:t>
      </w:r>
      <w:r>
        <w:rPr>
          <w:rFonts w:hint="eastAsia" w:ascii="仿宋" w:hAnsi="仿宋" w:eastAsia="仿宋" w:cs="仿宋"/>
          <w:kern w:val="0"/>
          <w:sz w:val="28"/>
          <w:szCs w:val="28"/>
        </w:rPr>
        <w:t>（复印件需加盖公章）报名</w:t>
      </w:r>
      <w:r>
        <w:rPr>
          <w:rFonts w:hint="eastAsia" w:ascii="仿宋" w:hAnsi="仿宋" w:eastAsia="仿宋" w:cs="宋体"/>
          <w:sz w:val="28"/>
        </w:rPr>
        <w:t>。</w:t>
      </w:r>
    </w:p>
    <w:p>
      <w:pPr>
        <w:spacing w:beforeLines="100" w:afterLines="100" w:line="460" w:lineRule="exact"/>
        <w:ind w:firstLine="560"/>
        <w:rPr>
          <w:rFonts w:ascii="仿宋" w:hAnsi="仿宋" w:eastAsia="仿宋" w:cs="宋体"/>
          <w:color w:val="000000"/>
          <w:sz w:val="28"/>
        </w:rPr>
      </w:pPr>
      <w:r>
        <w:rPr>
          <w:rFonts w:hint="eastAsia" w:ascii="仿宋" w:hAnsi="仿宋" w:eastAsia="仿宋" w:cs="宋体"/>
          <w:color w:val="000000"/>
          <w:sz w:val="28"/>
        </w:rPr>
        <w:t>7．投标方资格要求：</w:t>
      </w:r>
    </w:p>
    <w:p>
      <w:pPr>
        <w:spacing w:beforeLines="100" w:afterLines="100" w:line="460" w:lineRule="exact"/>
        <w:ind w:firstLine="560"/>
        <w:rPr>
          <w:rFonts w:ascii="仿宋" w:hAnsi="仿宋" w:eastAsia="仿宋" w:cs="宋体"/>
          <w:color w:val="000000"/>
          <w:sz w:val="28"/>
        </w:rPr>
      </w:pPr>
      <w:r>
        <w:rPr>
          <w:rFonts w:hint="eastAsia" w:ascii="仿宋" w:hAnsi="仿宋" w:eastAsia="仿宋" w:cs="宋体"/>
          <w:color w:val="000000"/>
          <w:sz w:val="28"/>
        </w:rPr>
        <w:t>7.1具有独立承担民事责任的能力；具有良好的商业信誉和健全的财务会计制度；具有履行合同所必需的设备和专业技术能力；有依法缴纳税收和社会保障资金的良好记录；法律、行政法规规定的其他条件。应自觉抵制政府采购领域商业贿赂行为。本项目不允许联合体投标。</w:t>
      </w:r>
    </w:p>
    <w:p>
      <w:pPr>
        <w:spacing w:beforeLines="100" w:afterLines="100" w:line="460" w:lineRule="exact"/>
        <w:ind w:firstLine="560"/>
        <w:rPr>
          <w:rFonts w:ascii="仿宋" w:hAnsi="仿宋" w:eastAsia="仿宋" w:cs="宋体"/>
          <w:color w:val="000000"/>
          <w:sz w:val="28"/>
        </w:rPr>
      </w:pPr>
      <w:r>
        <w:rPr>
          <w:rFonts w:hint="eastAsia" w:ascii="仿宋" w:hAnsi="仿宋" w:eastAsia="仿宋" w:cs="宋体"/>
          <w:color w:val="000000"/>
          <w:sz w:val="28"/>
        </w:rPr>
        <w:t>7.2满足招标文件中招标公告、“招标项目基本内容及要求”及项目要求的其它条件。</w:t>
      </w:r>
    </w:p>
    <w:p>
      <w:pPr>
        <w:spacing w:beforeLines="100" w:afterLines="100" w:line="460" w:lineRule="exact"/>
        <w:ind w:firstLine="560"/>
        <w:rPr>
          <w:rFonts w:ascii="仿宋" w:hAnsi="仿宋" w:eastAsia="仿宋" w:cs="宋体"/>
          <w:color w:val="000000"/>
          <w:sz w:val="28"/>
        </w:rPr>
      </w:pPr>
      <w:r>
        <w:rPr>
          <w:rFonts w:hint="eastAsia" w:ascii="仿宋" w:hAnsi="仿宋" w:eastAsia="仿宋" w:cs="宋体"/>
          <w:color w:val="000000"/>
          <w:sz w:val="28"/>
        </w:rPr>
        <w:t>7.3合格投标人还要满足的其它资格条件：</w:t>
      </w:r>
    </w:p>
    <w:p>
      <w:pPr>
        <w:widowControl/>
        <w:spacing w:line="360" w:lineRule="auto"/>
        <w:ind w:firstLine="482"/>
        <w:jc w:val="left"/>
        <w:rPr>
          <w:rFonts w:ascii="仿宋" w:hAnsi="仿宋" w:eastAsia="仿宋" w:cs="宋体"/>
          <w:b/>
          <w:color w:val="000000"/>
          <w:sz w:val="28"/>
          <w:u w:val="single"/>
        </w:rPr>
      </w:pPr>
      <w:r>
        <w:rPr>
          <w:rFonts w:hint="eastAsia" w:ascii="仿宋" w:hAnsi="仿宋" w:eastAsia="仿宋" w:cs="宋体"/>
          <w:color w:val="000000"/>
          <w:sz w:val="28"/>
        </w:rPr>
        <w:t>7.3.1投标供应商具有中华人民共和国境内注册的独立法人资格</w:t>
      </w:r>
      <w:r>
        <w:rPr>
          <w:rFonts w:hint="eastAsia" w:ascii="仿宋" w:hAnsi="仿宋" w:eastAsia="仿宋" w:cs="宋体"/>
          <w:kern w:val="0"/>
          <w:sz w:val="28"/>
          <w:szCs w:val="28"/>
        </w:rPr>
        <w:t>并取得各快递物流公司业务授权，</w:t>
      </w:r>
      <w:r>
        <w:rPr>
          <w:rFonts w:hint="eastAsia" w:ascii="仿宋" w:hAnsi="仿宋" w:eastAsia="仿宋" w:cs="宋体"/>
          <w:color w:val="000000"/>
          <w:sz w:val="28"/>
        </w:rPr>
        <w:t>能独立承担民事责任和合同义务，具有本次采购项目的经营范围，有能力提供本次采购项目及所要求的服务；</w:t>
      </w:r>
      <w:r>
        <w:rPr>
          <w:rFonts w:hint="eastAsia" w:ascii="仿宋" w:hAnsi="仿宋" w:eastAsia="仿宋" w:cs="宋体"/>
          <w:b/>
          <w:color w:val="000000"/>
          <w:sz w:val="28"/>
          <w:u w:val="single"/>
        </w:rPr>
        <w:t>（开标时提供原件：三证合一营业执照副本或单独的营业执照副本、税务登记证副本、组织机构代码证副本、2018年任一个月的依法纳税缴款凭证）</w:t>
      </w:r>
    </w:p>
    <w:p>
      <w:pPr>
        <w:widowControl/>
        <w:spacing w:line="360" w:lineRule="auto"/>
        <w:ind w:firstLine="482"/>
        <w:jc w:val="left"/>
        <w:rPr>
          <w:rFonts w:ascii="仿宋" w:hAnsi="仿宋" w:eastAsia="仿宋" w:cs="宋体"/>
          <w:color w:val="000000"/>
          <w:sz w:val="28"/>
        </w:rPr>
      </w:pPr>
      <w:r>
        <w:rPr>
          <w:rFonts w:hint="eastAsia" w:ascii="仿宋" w:hAnsi="仿宋" w:eastAsia="仿宋" w:cs="宋体"/>
          <w:color w:val="000000"/>
          <w:sz w:val="28"/>
        </w:rPr>
        <w:t>7.3.2投标供应商须具备在人员、设备、资金等方面有相应的能力，</w:t>
      </w:r>
      <w:r>
        <w:rPr>
          <w:rFonts w:hint="eastAsia" w:ascii="仿宋" w:hAnsi="仿宋" w:eastAsia="仿宋" w:cs="宋体"/>
          <w:kern w:val="0"/>
          <w:sz w:val="28"/>
          <w:szCs w:val="28"/>
        </w:rPr>
        <w:t>充分了解校园快递的规律和要求，具有为师生提拱优质服务的经营理念、运营模式和良好的职业道德</w:t>
      </w:r>
      <w:r>
        <w:rPr>
          <w:rFonts w:hint="eastAsia" w:ascii="仿宋" w:hAnsi="仿宋" w:eastAsia="仿宋" w:cs="宋体"/>
          <w:color w:val="000000"/>
          <w:sz w:val="28"/>
        </w:rPr>
        <w:t>；</w:t>
      </w:r>
    </w:p>
    <w:p>
      <w:pPr>
        <w:widowControl/>
        <w:spacing w:line="360" w:lineRule="auto"/>
        <w:ind w:firstLine="482"/>
        <w:jc w:val="left"/>
        <w:rPr>
          <w:rFonts w:ascii="仿宋" w:hAnsi="仿宋" w:eastAsia="仿宋" w:cs="宋体"/>
          <w:color w:val="000000"/>
          <w:sz w:val="28"/>
        </w:rPr>
      </w:pPr>
      <w:r>
        <w:rPr>
          <w:rFonts w:hint="eastAsia" w:ascii="仿宋" w:hAnsi="仿宋" w:eastAsia="仿宋" w:cs="宋体"/>
          <w:color w:val="000000"/>
          <w:sz w:val="28"/>
        </w:rPr>
        <w:t>7.3.3</w:t>
      </w:r>
      <w:r>
        <w:rPr>
          <w:rFonts w:hint="eastAsia" w:ascii="仿宋" w:hAnsi="仿宋" w:eastAsia="仿宋" w:cs="宋体"/>
          <w:kern w:val="0"/>
          <w:sz w:val="28"/>
          <w:szCs w:val="28"/>
        </w:rPr>
        <w:t>投标人具有第三方快递服务机构管理运营经历，并具备良好的社会信誉，无不良服务记录及法律纠纷（提供相关合同、无不良记录承诺书原件）</w:t>
      </w:r>
      <w:r>
        <w:rPr>
          <w:rFonts w:hint="eastAsia" w:ascii="仿宋" w:hAnsi="仿宋" w:eastAsia="仿宋" w:cs="宋体"/>
          <w:color w:val="000000"/>
          <w:sz w:val="28"/>
        </w:rPr>
        <w:t>。</w:t>
      </w:r>
    </w:p>
    <w:p>
      <w:pPr>
        <w:spacing w:beforeLines="100" w:afterLines="100" w:line="460" w:lineRule="exact"/>
        <w:ind w:firstLine="560"/>
        <w:rPr>
          <w:rFonts w:ascii="仿宋" w:hAnsi="仿宋" w:eastAsia="仿宋" w:cs="宋体"/>
          <w:color w:val="000000"/>
          <w:sz w:val="28"/>
        </w:rPr>
      </w:pPr>
      <w:r>
        <w:rPr>
          <w:rFonts w:hint="eastAsia" w:ascii="仿宋" w:hAnsi="仿宋" w:eastAsia="仿宋" w:cs="宋体"/>
          <w:color w:val="000000"/>
          <w:sz w:val="28"/>
        </w:rPr>
        <w:t>7.4服从学校管理，能遵守法律法规和学校的各项规章制度。</w:t>
      </w:r>
    </w:p>
    <w:p>
      <w:pPr>
        <w:spacing w:beforeLines="100" w:afterLines="100" w:line="460" w:lineRule="exact"/>
        <w:ind w:firstLine="560"/>
        <w:rPr>
          <w:rFonts w:ascii="仿宋" w:hAnsi="仿宋" w:eastAsia="仿宋" w:cs="宋体"/>
          <w:color w:val="000000"/>
          <w:sz w:val="28"/>
        </w:rPr>
      </w:pPr>
      <w:r>
        <w:rPr>
          <w:rFonts w:hint="eastAsia" w:ascii="仿宋" w:hAnsi="仿宋" w:eastAsia="仿宋" w:cs="宋体"/>
          <w:color w:val="000000"/>
          <w:sz w:val="28"/>
        </w:rPr>
        <w:t>7.5可提供与校企联合的相关服务者优先。</w:t>
      </w:r>
    </w:p>
    <w:p>
      <w:pPr>
        <w:widowControl/>
        <w:spacing w:beforeLines="100" w:afterLines="100" w:line="460" w:lineRule="exact"/>
        <w:ind w:firstLine="643"/>
        <w:jc w:val="left"/>
        <w:outlineLvl w:val="0"/>
        <w:rPr>
          <w:rStyle w:val="5"/>
          <w:rFonts w:ascii="仿宋" w:hAnsi="仿宋" w:eastAsia="仿宋" w:cs="仿宋"/>
          <w:kern w:val="0"/>
          <w:sz w:val="32"/>
          <w:szCs w:val="32"/>
        </w:rPr>
      </w:pPr>
      <w:r>
        <w:rPr>
          <w:rStyle w:val="5"/>
          <w:rFonts w:hint="eastAsia" w:ascii="仿宋" w:hAnsi="仿宋" w:eastAsia="仿宋" w:cs="仿宋"/>
          <w:kern w:val="0"/>
          <w:sz w:val="32"/>
          <w:szCs w:val="32"/>
        </w:rPr>
        <w:t>二、投标文件的编写</w:t>
      </w:r>
    </w:p>
    <w:p>
      <w:pPr>
        <w:spacing w:beforeLines="100" w:afterLines="100" w:line="360" w:lineRule="auto"/>
        <w:ind w:firstLine="560" w:firstLineChars="200"/>
        <w:rPr>
          <w:rFonts w:ascii="仿宋" w:hAnsi="仿宋" w:eastAsia="仿宋" w:cs="宋体"/>
          <w:sz w:val="28"/>
        </w:rPr>
      </w:pPr>
      <w:r>
        <w:rPr>
          <w:rFonts w:hint="eastAsia" w:ascii="仿宋" w:hAnsi="仿宋" w:eastAsia="仿宋" w:cs="宋体"/>
          <w:sz w:val="28"/>
        </w:rPr>
        <w:t>1．投标方应仔细阅读招标文件的所有内容，按招标文件的要求提供投标文件，并保证所提供的全部资料的真实性，以使其投标对招标文件作出实质性响应，否则，其投标将被拒绝。</w:t>
      </w:r>
    </w:p>
    <w:p>
      <w:pPr>
        <w:spacing w:beforeLines="100" w:afterLines="100" w:line="460" w:lineRule="exact"/>
        <w:ind w:firstLine="560"/>
        <w:rPr>
          <w:rFonts w:ascii="仿宋" w:hAnsi="仿宋" w:eastAsia="仿宋" w:cs="宋体"/>
          <w:sz w:val="28"/>
        </w:rPr>
      </w:pPr>
      <w:r>
        <w:rPr>
          <w:rFonts w:hint="eastAsia" w:ascii="仿宋" w:hAnsi="仿宋" w:eastAsia="仿宋" w:cs="宋体"/>
          <w:sz w:val="28"/>
        </w:rPr>
        <w:t>2．投标文件的组成：</w:t>
      </w:r>
    </w:p>
    <w:p>
      <w:pPr>
        <w:spacing w:beforeLines="100" w:afterLines="100" w:line="460" w:lineRule="exact"/>
        <w:ind w:firstLine="560"/>
        <w:rPr>
          <w:rFonts w:ascii="仿宋" w:hAnsi="仿宋" w:eastAsia="仿宋" w:cs="宋体"/>
          <w:sz w:val="28"/>
          <w:szCs w:val="28"/>
        </w:rPr>
      </w:pPr>
      <w:r>
        <w:rPr>
          <w:rFonts w:hint="eastAsia" w:ascii="仿宋" w:hAnsi="仿宋" w:eastAsia="仿宋" w:cs="仿宋"/>
          <w:kern w:val="0"/>
          <w:sz w:val="28"/>
          <w:szCs w:val="28"/>
        </w:rPr>
        <w:t>2.1投标人资格资质证明（开标现场请携带原件备查）；</w:t>
      </w:r>
    </w:p>
    <w:p>
      <w:pPr>
        <w:widowControl/>
        <w:spacing w:beforeLines="100" w:afterLines="100" w:line="460" w:lineRule="exact"/>
        <w:ind w:firstLine="640"/>
        <w:jc w:val="left"/>
        <w:rPr>
          <w:sz w:val="28"/>
          <w:szCs w:val="28"/>
        </w:rPr>
      </w:pPr>
      <w:r>
        <w:rPr>
          <w:rFonts w:hint="eastAsia" w:ascii="仿宋" w:hAnsi="仿宋" w:eastAsia="仿宋" w:cs="仿宋"/>
          <w:kern w:val="0"/>
          <w:sz w:val="28"/>
          <w:szCs w:val="28"/>
        </w:rPr>
        <w:t>2.2经营规划方案及房屋改造装修设计方案；</w:t>
      </w:r>
    </w:p>
    <w:p>
      <w:pPr>
        <w:widowControl/>
        <w:spacing w:beforeLines="100" w:afterLines="100" w:line="46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2.3经营业绩证明；</w:t>
      </w:r>
    </w:p>
    <w:p>
      <w:pPr>
        <w:widowControl/>
        <w:spacing w:beforeLines="100" w:afterLines="100" w:line="460" w:lineRule="exact"/>
        <w:ind w:firstLine="640"/>
        <w:jc w:val="left"/>
        <w:rPr>
          <w:sz w:val="28"/>
          <w:szCs w:val="28"/>
        </w:rPr>
      </w:pPr>
      <w:r>
        <w:rPr>
          <w:rFonts w:hint="eastAsia" w:ascii="仿宋" w:hAnsi="仿宋" w:eastAsia="仿宋" w:cs="仿宋"/>
          <w:kern w:val="0"/>
          <w:sz w:val="28"/>
          <w:szCs w:val="28"/>
        </w:rPr>
        <w:t>2.4服务承诺。</w:t>
      </w:r>
    </w:p>
    <w:p>
      <w:pPr>
        <w:widowControl/>
        <w:spacing w:beforeLines="100" w:afterLines="100" w:line="460" w:lineRule="exact"/>
        <w:ind w:firstLine="640"/>
        <w:jc w:val="left"/>
        <w:rPr>
          <w:sz w:val="28"/>
          <w:szCs w:val="28"/>
        </w:rPr>
      </w:pPr>
      <w:r>
        <w:rPr>
          <w:rFonts w:hint="eastAsia" w:ascii="仿宋" w:hAnsi="仿宋" w:eastAsia="仿宋" w:cs="仿宋"/>
          <w:kern w:val="0"/>
          <w:sz w:val="28"/>
          <w:szCs w:val="28"/>
        </w:rPr>
        <w:t>2.5以上文件投标人按顺序装订成册，要求A4纸编制、打印，不得有加行、涂抹或修改，单位投标者由法人或委托代理人签字并加盖公章。</w:t>
      </w:r>
    </w:p>
    <w:p>
      <w:pPr>
        <w:spacing w:beforeLines="100" w:afterLines="100" w:line="460" w:lineRule="exact"/>
        <w:ind w:firstLine="560"/>
        <w:rPr>
          <w:rFonts w:ascii="仿宋" w:hAnsi="仿宋" w:eastAsia="仿宋" w:cs="宋体"/>
          <w:sz w:val="28"/>
        </w:rPr>
      </w:pPr>
      <w:r>
        <w:rPr>
          <w:rFonts w:hint="eastAsia" w:ascii="仿宋" w:hAnsi="仿宋" w:eastAsia="仿宋" w:cs="宋体"/>
          <w:sz w:val="28"/>
        </w:rPr>
        <w:t>3．投标方资格的证明文件：投标方必须提交资质原件证明，作为投标方文件的一部分。</w:t>
      </w:r>
    </w:p>
    <w:p>
      <w:pPr>
        <w:spacing w:line="380" w:lineRule="exact"/>
        <w:ind w:firstLine="570"/>
        <w:rPr>
          <w:rFonts w:ascii="仿宋" w:hAnsi="仿宋" w:eastAsia="仿宋" w:cs="宋体"/>
          <w:kern w:val="0"/>
          <w:sz w:val="28"/>
          <w:szCs w:val="28"/>
        </w:rPr>
      </w:pPr>
      <w:r>
        <w:rPr>
          <w:rFonts w:hint="eastAsia" w:ascii="仿宋" w:hAnsi="仿宋" w:eastAsia="仿宋" w:cs="宋体"/>
          <w:sz w:val="28"/>
        </w:rPr>
        <w:t>4．投标报价：</w:t>
      </w:r>
    </w:p>
    <w:p>
      <w:pPr>
        <w:spacing w:line="360" w:lineRule="auto"/>
        <w:ind w:firstLine="561"/>
        <w:rPr>
          <w:rFonts w:ascii="仿宋" w:hAnsi="仿宋" w:eastAsia="仿宋" w:cs="宋体"/>
          <w:sz w:val="28"/>
        </w:rPr>
      </w:pPr>
      <w:r>
        <w:rPr>
          <w:rFonts w:hint="eastAsia" w:ascii="仿宋" w:hAnsi="仿宋" w:eastAsia="仿宋" w:cs="宋体"/>
          <w:sz w:val="28"/>
        </w:rPr>
        <w:t>（1）投标方按年资源占用费报价</w:t>
      </w:r>
    </w:p>
    <w:p>
      <w:pPr>
        <w:spacing w:line="360" w:lineRule="auto"/>
        <w:ind w:firstLine="561"/>
        <w:rPr>
          <w:rFonts w:ascii="仿宋" w:hAnsi="仿宋" w:eastAsia="仿宋"/>
          <w:sz w:val="28"/>
          <w:szCs w:val="28"/>
        </w:rPr>
      </w:pPr>
      <w:r>
        <w:rPr>
          <w:rFonts w:hint="eastAsia" w:ascii="仿宋" w:hAnsi="仿宋" w:eastAsia="仿宋" w:cs="宋体"/>
          <w:sz w:val="28"/>
        </w:rPr>
        <w:t>（2）</w:t>
      </w:r>
      <w:r>
        <w:rPr>
          <w:rFonts w:hint="eastAsia" w:ascii="仿宋" w:hAnsi="仿宋" w:eastAsia="仿宋" w:cs="宋体"/>
          <w:sz w:val="28"/>
          <w:szCs w:val="28"/>
        </w:rPr>
        <w:t>本次投标报价为综合报价。</w:t>
      </w:r>
      <w:r>
        <w:rPr>
          <w:rFonts w:hint="eastAsia" w:ascii="仿宋" w:hAnsi="仿宋" w:eastAsia="仿宋"/>
          <w:sz w:val="28"/>
          <w:szCs w:val="28"/>
        </w:rPr>
        <w:t>报价中应考虑现有房屋基本状况，房屋的基础设施改造（水、电、暖、房顶改造）、房屋的装修改造由投标方承担。</w:t>
      </w:r>
    </w:p>
    <w:p>
      <w:pPr>
        <w:spacing w:beforeLines="100" w:afterLines="100" w:line="460" w:lineRule="exact"/>
        <w:ind w:firstLine="560"/>
        <w:rPr>
          <w:rFonts w:ascii="仿宋" w:hAnsi="仿宋" w:eastAsia="仿宋" w:cs="宋体"/>
          <w:sz w:val="28"/>
        </w:rPr>
      </w:pPr>
      <w:r>
        <w:rPr>
          <w:rFonts w:hint="eastAsia" w:ascii="仿宋" w:hAnsi="仿宋" w:eastAsia="仿宋" w:cs="宋体"/>
          <w:sz w:val="28"/>
        </w:rPr>
        <w:t>5．投标方保证金：</w:t>
      </w:r>
    </w:p>
    <w:p>
      <w:pPr>
        <w:spacing w:beforeLines="100" w:afterLines="100" w:line="460" w:lineRule="exact"/>
        <w:ind w:firstLine="560" w:firstLineChars="200"/>
        <w:rPr>
          <w:rFonts w:ascii="仿宋" w:hAnsi="仿宋" w:eastAsia="仿宋" w:cs="宋体"/>
          <w:sz w:val="28"/>
          <w:szCs w:val="28"/>
        </w:rPr>
      </w:pPr>
      <w:r>
        <w:rPr>
          <w:rFonts w:hint="eastAsia" w:ascii="仿宋" w:hAnsi="仿宋" w:eastAsia="仿宋" w:cs="宋体"/>
          <w:sz w:val="28"/>
          <w:szCs w:val="28"/>
        </w:rPr>
        <w:t>5.1投标方应向招标方提供投标保证金，金额为人民币1000元，装在标有单位名称的信封中密封。</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 xml:space="preserve"> 5.2投标保证金以现金形式提交。</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 xml:space="preserve"> 5.3未按规定提交投标保证金的投标，将被视为无效投标。</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 xml:space="preserve"> 5.4未中标的投标方的保证金，在定标后2日内予以退还（无息）。</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 xml:space="preserve"> 5.5中标方的投标保证金，在签订合同后即退回中标方。</w:t>
      </w:r>
    </w:p>
    <w:p>
      <w:pPr>
        <w:spacing w:beforeLines="100" w:afterLines="100" w:line="460" w:lineRule="exact"/>
        <w:ind w:firstLine="560"/>
        <w:rPr>
          <w:rFonts w:ascii="仿宋" w:hAnsi="仿宋" w:eastAsia="仿宋" w:cs="宋体"/>
          <w:sz w:val="28"/>
          <w:szCs w:val="28"/>
        </w:rPr>
      </w:pPr>
      <w:r>
        <w:rPr>
          <w:rFonts w:hint="eastAsia" w:ascii="仿宋" w:hAnsi="仿宋" w:eastAsia="仿宋" w:cs="宋体"/>
          <w:sz w:val="28"/>
          <w:szCs w:val="28"/>
        </w:rPr>
        <w:t>6．投标文件的签署及规定：</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 xml:space="preserve"> 6.1投标文件正本和副本须打印，加盖投标人公章并由投标方法人代表和委托代理人签字。</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 xml:space="preserve"> 6.2投标文件中不许有加行、涂抹或改写。</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 xml:space="preserve"> 6.3电报、电话、传真形式的投标概不接受。</w:t>
      </w:r>
    </w:p>
    <w:p>
      <w:pPr>
        <w:widowControl/>
        <w:spacing w:beforeLines="100" w:afterLines="100" w:line="460" w:lineRule="exact"/>
        <w:ind w:firstLine="640"/>
        <w:jc w:val="left"/>
        <w:rPr>
          <w:rFonts w:ascii="仿宋" w:hAnsi="仿宋" w:eastAsia="仿宋" w:cs="仿宋"/>
          <w:kern w:val="0"/>
          <w:sz w:val="28"/>
          <w:szCs w:val="28"/>
        </w:rPr>
      </w:pPr>
      <w:r>
        <w:rPr>
          <w:rFonts w:hint="eastAsia" w:ascii="仿宋" w:hAnsi="仿宋" w:eastAsia="仿宋" w:cs="宋体"/>
          <w:sz w:val="28"/>
        </w:rPr>
        <w:t>7.</w:t>
      </w:r>
      <w:r>
        <w:rPr>
          <w:rFonts w:hint="eastAsia" w:ascii="仿宋" w:hAnsi="仿宋" w:eastAsia="仿宋" w:cs="仿宋"/>
          <w:kern w:val="0"/>
          <w:sz w:val="28"/>
          <w:szCs w:val="28"/>
        </w:rPr>
        <w:t xml:space="preserve"> 履约保证金：</w:t>
      </w:r>
    </w:p>
    <w:p>
      <w:pPr>
        <w:widowControl/>
        <w:spacing w:beforeLines="100" w:afterLines="100" w:line="460" w:lineRule="exact"/>
        <w:ind w:firstLine="640"/>
        <w:jc w:val="left"/>
        <w:rPr>
          <w:sz w:val="28"/>
          <w:szCs w:val="28"/>
        </w:rPr>
      </w:pPr>
      <w:r>
        <w:rPr>
          <w:rFonts w:hint="eastAsia" w:ascii="仿宋" w:hAnsi="仿宋" w:eastAsia="仿宋" w:cs="仿宋"/>
          <w:kern w:val="0"/>
          <w:sz w:val="28"/>
          <w:szCs w:val="28"/>
        </w:rPr>
        <w:t>投标人中标后，签订本项目承包合同缴纳一年资源占用费、履约保证金（伍仟圆整），合同期满并退出学校后履约保证金退还（不计利息）。</w:t>
      </w:r>
    </w:p>
    <w:p>
      <w:pPr>
        <w:widowControl/>
        <w:spacing w:beforeLines="100" w:afterLines="100" w:line="460" w:lineRule="exact"/>
        <w:ind w:firstLine="640"/>
        <w:jc w:val="left"/>
        <w:rPr>
          <w:sz w:val="28"/>
          <w:szCs w:val="28"/>
        </w:rPr>
      </w:pPr>
      <w:r>
        <w:rPr>
          <w:rFonts w:hint="eastAsia" w:ascii="仿宋" w:hAnsi="仿宋" w:eastAsia="仿宋" w:cs="仿宋"/>
          <w:kern w:val="0"/>
          <w:sz w:val="28"/>
          <w:szCs w:val="28"/>
        </w:rPr>
        <w:t>未中标者退还投标保证金（不计利息），投标人中标后弃标的，其投标保证金不退，报名费及资料费不论中标与否均不退还。</w:t>
      </w:r>
    </w:p>
    <w:p>
      <w:pPr>
        <w:spacing w:beforeLines="100" w:afterLines="100" w:line="460" w:lineRule="exact"/>
        <w:outlineLvl w:val="0"/>
        <w:rPr>
          <w:rFonts w:ascii="仿宋" w:hAnsi="仿宋" w:eastAsia="仿宋" w:cs="宋体"/>
          <w:b/>
          <w:bCs/>
          <w:sz w:val="32"/>
          <w:szCs w:val="32"/>
        </w:rPr>
      </w:pPr>
      <w:r>
        <w:rPr>
          <w:rFonts w:hint="eastAsia" w:ascii="仿宋" w:hAnsi="仿宋" w:eastAsia="仿宋" w:cs="宋体"/>
          <w:b/>
          <w:bCs/>
          <w:sz w:val="32"/>
          <w:szCs w:val="32"/>
        </w:rPr>
        <w:t xml:space="preserve">    三、投标文件的递交</w:t>
      </w:r>
    </w:p>
    <w:p>
      <w:pPr>
        <w:spacing w:beforeLines="100" w:afterLines="100" w:line="460" w:lineRule="exact"/>
        <w:ind w:firstLine="560"/>
        <w:rPr>
          <w:rFonts w:ascii="仿宋" w:hAnsi="仿宋" w:eastAsia="仿宋" w:cs="宋体"/>
          <w:sz w:val="28"/>
        </w:rPr>
      </w:pPr>
      <w:r>
        <w:rPr>
          <w:rFonts w:hint="eastAsia" w:ascii="仿宋" w:hAnsi="仿宋" w:eastAsia="仿宋" w:cs="宋体"/>
          <w:sz w:val="28"/>
        </w:rPr>
        <w:t>1．投标文件的密封和标记：</w:t>
      </w:r>
    </w:p>
    <w:p>
      <w:pPr>
        <w:spacing w:beforeLines="100" w:afterLines="100" w:line="460" w:lineRule="exact"/>
        <w:ind w:firstLine="560"/>
        <w:rPr>
          <w:rFonts w:ascii="仿宋" w:hAnsi="仿宋" w:eastAsia="仿宋" w:cs="宋体"/>
          <w:sz w:val="28"/>
        </w:rPr>
      </w:pPr>
      <w:r>
        <w:rPr>
          <w:rFonts w:hint="eastAsia" w:ascii="仿宋" w:hAnsi="仿宋" w:eastAsia="仿宋" w:cs="宋体"/>
          <w:sz w:val="28"/>
        </w:rPr>
        <w:t>投标方应准备投标文件正本一份、副本六份，装在同一密封袋密封，并在每一份投标文件上要注明“正本”</w:t>
      </w:r>
      <w:r>
        <w:rPr>
          <w:rFonts w:hint="eastAsia" w:ascii="仿宋" w:hAnsi="仿宋" w:eastAsia="仿宋" w:cs="宋体"/>
          <w:color w:val="000000"/>
          <w:sz w:val="28"/>
        </w:rPr>
        <w:t>或</w:t>
      </w:r>
      <w:r>
        <w:rPr>
          <w:rFonts w:hint="eastAsia" w:ascii="仿宋" w:hAnsi="仿宋" w:eastAsia="仿宋" w:cs="宋体"/>
          <w:sz w:val="28"/>
        </w:rPr>
        <w:t>“副本”字样，标明招标编号、投标项目名称，一旦正本和副本有差异，以正本为准，密封袋上注明“于2018年7月 29 日上午9:00 之前不准启封”的字样。</w:t>
      </w:r>
    </w:p>
    <w:p>
      <w:pPr>
        <w:spacing w:beforeLines="100" w:afterLines="100" w:line="460" w:lineRule="exact"/>
        <w:ind w:firstLine="560"/>
        <w:rPr>
          <w:rFonts w:ascii="仿宋" w:hAnsi="仿宋" w:eastAsia="仿宋" w:cs="宋体"/>
          <w:sz w:val="28"/>
        </w:rPr>
      </w:pPr>
      <w:r>
        <w:rPr>
          <w:rFonts w:hint="eastAsia" w:ascii="仿宋" w:hAnsi="仿宋" w:eastAsia="仿宋" w:cs="宋体"/>
          <w:sz w:val="28"/>
        </w:rPr>
        <w:t>2．递交投标文件截止时间：</w:t>
      </w:r>
      <w:r>
        <w:rPr>
          <w:rFonts w:ascii="仿宋" w:hAnsi="仿宋" w:eastAsia="仿宋" w:cs="宋体"/>
          <w:sz w:val="28"/>
        </w:rPr>
        <w:t>2018</w:t>
      </w:r>
      <w:r>
        <w:rPr>
          <w:rFonts w:hint="eastAsia" w:ascii="仿宋" w:hAnsi="仿宋" w:eastAsia="仿宋" w:cs="宋体"/>
          <w:sz w:val="28"/>
        </w:rPr>
        <w:t>年7 月 29 日8:50 （北京时间），招标方拒绝在递交投标文件截止后受理投标文件。</w:t>
      </w:r>
    </w:p>
    <w:p>
      <w:pPr>
        <w:widowControl/>
        <w:spacing w:beforeLines="100" w:afterLines="100" w:line="460" w:lineRule="exact"/>
        <w:ind w:firstLine="643"/>
        <w:jc w:val="left"/>
        <w:outlineLvl w:val="0"/>
        <w:rPr>
          <w:rStyle w:val="5"/>
          <w:rFonts w:ascii="仿宋" w:hAnsi="仿宋" w:eastAsia="仿宋" w:cs="仿宋"/>
          <w:kern w:val="0"/>
          <w:sz w:val="32"/>
          <w:szCs w:val="32"/>
        </w:rPr>
      </w:pPr>
      <w:r>
        <w:rPr>
          <w:rStyle w:val="5"/>
          <w:rFonts w:hint="eastAsia" w:ascii="仿宋" w:hAnsi="仿宋" w:eastAsia="仿宋" w:cs="仿宋"/>
          <w:kern w:val="0"/>
          <w:sz w:val="32"/>
          <w:szCs w:val="32"/>
        </w:rPr>
        <w:t>四、竞标及评审程序</w:t>
      </w:r>
    </w:p>
    <w:p>
      <w:pPr>
        <w:spacing w:beforeLines="100" w:afterLines="100" w:line="460" w:lineRule="exact"/>
        <w:ind w:firstLine="560"/>
        <w:rPr>
          <w:rFonts w:ascii="仿宋" w:hAnsi="仿宋" w:eastAsia="仿宋" w:cs="宋体"/>
          <w:sz w:val="28"/>
        </w:rPr>
      </w:pPr>
      <w:r>
        <w:rPr>
          <w:rFonts w:hint="eastAsia" w:ascii="仿宋" w:hAnsi="仿宋" w:eastAsia="仿宋" w:cs="宋体"/>
          <w:sz w:val="28"/>
        </w:rPr>
        <w:t>1．开标：</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 xml:space="preserve"> 1.1招标方按招标公告中规定的时间和地点组织开标。</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 xml:space="preserve"> 1.2开标时，投标方须由法人、或委托代理人（具有授权书）参加，签名报到同时交纳投标保证金，否则，视为自动弃权。</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 xml:space="preserve"> 1.3开标时，检查投标文件密封情况，确认无误后拆封唱标。</w:t>
      </w:r>
    </w:p>
    <w:p>
      <w:pPr>
        <w:spacing w:beforeLines="100" w:afterLines="100" w:line="460" w:lineRule="exact"/>
        <w:ind w:firstLine="560"/>
        <w:rPr>
          <w:rFonts w:ascii="仿宋" w:hAnsi="仿宋" w:eastAsia="仿宋" w:cs="宋体"/>
          <w:sz w:val="28"/>
          <w:szCs w:val="28"/>
        </w:rPr>
      </w:pPr>
      <w:r>
        <w:rPr>
          <w:rFonts w:hint="eastAsia" w:ascii="仿宋" w:hAnsi="仿宋" w:eastAsia="仿宋" w:cs="宋体"/>
          <w:sz w:val="28"/>
          <w:szCs w:val="28"/>
        </w:rPr>
        <w:t>2．评标委员会：</w:t>
      </w:r>
    </w:p>
    <w:p>
      <w:pPr>
        <w:spacing w:beforeLines="100" w:afterLines="100" w:line="460" w:lineRule="exact"/>
        <w:ind w:firstLine="560"/>
        <w:rPr>
          <w:rFonts w:ascii="仿宋" w:hAnsi="仿宋" w:eastAsia="仿宋" w:cs="宋体"/>
          <w:sz w:val="28"/>
          <w:szCs w:val="28"/>
        </w:rPr>
      </w:pPr>
      <w:r>
        <w:rPr>
          <w:rFonts w:hint="eastAsia" w:ascii="仿宋" w:hAnsi="仿宋" w:eastAsia="仿宋" w:cs="宋体"/>
          <w:sz w:val="28"/>
          <w:szCs w:val="28"/>
        </w:rPr>
        <w:t>招标方将根据招标</w:t>
      </w:r>
      <w:r>
        <w:rPr>
          <w:rFonts w:hint="eastAsia" w:ascii="仿宋" w:hAnsi="仿宋" w:eastAsia="仿宋" w:cs="宋体"/>
          <w:color w:val="000000"/>
          <w:sz w:val="28"/>
          <w:szCs w:val="28"/>
        </w:rPr>
        <w:t>的内容和</w:t>
      </w:r>
      <w:r>
        <w:rPr>
          <w:rFonts w:hint="eastAsia" w:ascii="仿宋" w:hAnsi="仿宋" w:eastAsia="仿宋" w:cs="宋体"/>
          <w:sz w:val="28"/>
          <w:szCs w:val="28"/>
        </w:rPr>
        <w:t>特点组建评标委员会，评标委员会对投标文件进行开标审查、质疑期间，投标方法人或委托代理人必须在场。</w:t>
      </w:r>
    </w:p>
    <w:p>
      <w:pPr>
        <w:widowControl/>
        <w:spacing w:beforeLines="100" w:afterLines="100" w:line="460" w:lineRule="exact"/>
        <w:ind w:firstLine="643"/>
        <w:jc w:val="left"/>
        <w:rPr>
          <w:rFonts w:ascii="仿宋" w:hAnsi="仿宋" w:eastAsia="仿宋" w:cs="宋体"/>
          <w:sz w:val="28"/>
          <w:szCs w:val="28"/>
        </w:rPr>
      </w:pPr>
      <w:r>
        <w:rPr>
          <w:rFonts w:hint="eastAsia" w:ascii="仿宋" w:hAnsi="仿宋" w:eastAsia="仿宋" w:cs="宋体"/>
          <w:sz w:val="28"/>
          <w:szCs w:val="28"/>
        </w:rPr>
        <w:t>3. 资格审查和确定：</w:t>
      </w:r>
    </w:p>
    <w:p>
      <w:pPr>
        <w:widowControl/>
        <w:spacing w:beforeLines="100" w:afterLines="100" w:line="460" w:lineRule="exact"/>
        <w:ind w:firstLine="643"/>
        <w:jc w:val="left"/>
        <w:rPr>
          <w:rFonts w:ascii="仿宋" w:hAnsi="仿宋" w:eastAsia="仿宋" w:cs="仿宋"/>
          <w:kern w:val="0"/>
          <w:sz w:val="28"/>
          <w:szCs w:val="28"/>
        </w:rPr>
      </w:pPr>
      <w:r>
        <w:rPr>
          <w:rFonts w:hint="eastAsia" w:ascii="仿宋" w:hAnsi="仿宋" w:eastAsia="仿宋" w:cs="仿宋"/>
          <w:kern w:val="0"/>
          <w:sz w:val="28"/>
          <w:szCs w:val="28"/>
        </w:rPr>
        <w:t>3.1投标人报名时，进行投标资格初审，审核合格者可参加投标报名。</w:t>
      </w:r>
    </w:p>
    <w:p>
      <w:pPr>
        <w:spacing w:beforeLines="100" w:afterLines="100" w:line="460" w:lineRule="exact"/>
        <w:ind w:firstLine="560"/>
        <w:rPr>
          <w:rFonts w:ascii="仿宋" w:hAnsi="仿宋" w:eastAsia="仿宋" w:cs="宋体"/>
          <w:sz w:val="28"/>
          <w:szCs w:val="28"/>
        </w:rPr>
      </w:pPr>
      <w:r>
        <w:rPr>
          <w:rFonts w:hint="eastAsia" w:ascii="仿宋" w:hAnsi="仿宋" w:eastAsia="仿宋" w:cs="宋体"/>
          <w:sz w:val="28"/>
          <w:szCs w:val="28"/>
        </w:rPr>
        <w:t xml:space="preserve"> 3.2招标方允许修改投标中不构成重大偏离的微小的、非正规、不一致或不规则的地方。</w:t>
      </w:r>
    </w:p>
    <w:p>
      <w:pPr>
        <w:widowControl/>
        <w:spacing w:beforeLines="100" w:afterLines="100" w:line="46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3.3招标方对投标人的经营方案、经营业绩、服务承诺等投标文件实质性内容进行评审、结合开标现场投标人答辩情况综合评定。</w:t>
      </w:r>
    </w:p>
    <w:p>
      <w:pPr>
        <w:spacing w:line="360" w:lineRule="auto"/>
        <w:ind w:firstLine="607" w:firstLineChars="217"/>
        <w:rPr>
          <w:rFonts w:ascii="仿宋" w:hAnsi="仿宋" w:eastAsia="仿宋" w:cs="宋体"/>
          <w:sz w:val="28"/>
          <w:szCs w:val="28"/>
        </w:rPr>
      </w:pPr>
      <w:r>
        <w:rPr>
          <w:rFonts w:hint="eastAsia" w:ascii="仿宋" w:hAnsi="仿宋" w:eastAsia="仿宋" w:cs="宋体"/>
          <w:sz w:val="28"/>
          <w:szCs w:val="28"/>
        </w:rPr>
        <w:t>4.评标办法和评标标准</w:t>
      </w:r>
    </w:p>
    <w:p>
      <w:pPr>
        <w:spacing w:beforeLines="100" w:afterLines="100" w:line="460" w:lineRule="exact"/>
        <w:ind w:firstLine="560"/>
        <w:rPr>
          <w:rFonts w:ascii="仿宋" w:hAnsi="仿宋" w:eastAsia="仿宋" w:cs="宋体"/>
          <w:sz w:val="28"/>
          <w:szCs w:val="28"/>
        </w:rPr>
      </w:pPr>
      <w:r>
        <w:rPr>
          <w:rFonts w:hint="eastAsia" w:ascii="仿宋" w:hAnsi="仿宋" w:eastAsia="仿宋" w:cs="宋体"/>
          <w:sz w:val="28"/>
          <w:szCs w:val="28"/>
        </w:rPr>
        <w:t>评标委员会按招标文件中规定的评标方法和标准，对资格性检查和符合性检查合格的投标文件进行商务和技术评估，综合比较与评价。</w:t>
      </w:r>
    </w:p>
    <w:p>
      <w:pPr>
        <w:spacing w:beforeLines="100" w:afterLines="100" w:line="460" w:lineRule="exact"/>
        <w:ind w:firstLine="560"/>
        <w:rPr>
          <w:rFonts w:ascii="仿宋" w:hAnsi="仿宋" w:eastAsia="仿宋" w:cs="宋体"/>
          <w:sz w:val="28"/>
          <w:szCs w:val="28"/>
        </w:rPr>
      </w:pPr>
      <w:r>
        <w:rPr>
          <w:rFonts w:hint="eastAsia" w:ascii="仿宋" w:hAnsi="仿宋" w:eastAsia="仿宋" w:cs="宋体"/>
          <w:sz w:val="28"/>
          <w:szCs w:val="28"/>
        </w:rPr>
        <w:t>4.1综合评分法</w:t>
      </w:r>
    </w:p>
    <w:p>
      <w:pPr>
        <w:spacing w:beforeLines="100" w:afterLines="100" w:line="460" w:lineRule="exact"/>
        <w:ind w:firstLine="560"/>
        <w:rPr>
          <w:rFonts w:ascii="仿宋" w:hAnsi="仿宋" w:eastAsia="仿宋" w:cs="宋体"/>
          <w:sz w:val="28"/>
          <w:szCs w:val="28"/>
        </w:rPr>
      </w:pPr>
      <w:r>
        <w:rPr>
          <w:rFonts w:hint="eastAsia" w:ascii="仿宋" w:hAnsi="仿宋" w:eastAsia="仿宋" w:cs="宋体"/>
          <w:sz w:val="28"/>
          <w:szCs w:val="28"/>
        </w:rPr>
        <w:t>4.1.1是指在最大限度地满足招标文件实质性要求前提下，按照招标文件中规定的各项因素进行综合评审后，以评标总得分最高的投标人作为中标候选供应商或者中标供应商的评标方法。</w:t>
      </w:r>
    </w:p>
    <w:p>
      <w:pPr>
        <w:spacing w:beforeLines="100" w:afterLines="100" w:line="460" w:lineRule="exact"/>
        <w:ind w:firstLine="560"/>
        <w:rPr>
          <w:rFonts w:ascii="仿宋" w:hAnsi="仿宋" w:eastAsia="仿宋" w:cs="宋体"/>
          <w:sz w:val="28"/>
          <w:szCs w:val="28"/>
        </w:rPr>
      </w:pPr>
      <w:r>
        <w:rPr>
          <w:rFonts w:hint="eastAsia" w:ascii="仿宋" w:hAnsi="仿宋" w:eastAsia="仿宋" w:cs="宋体"/>
          <w:sz w:val="28"/>
          <w:szCs w:val="28"/>
        </w:rPr>
        <w:t>4.1.2评标委员会依照评标方法对每个有效投标文件进行打分。</w:t>
      </w:r>
    </w:p>
    <w:p>
      <w:pPr>
        <w:spacing w:beforeLines="100" w:afterLines="100" w:line="460" w:lineRule="exact"/>
        <w:ind w:firstLine="560"/>
        <w:rPr>
          <w:rFonts w:hint="eastAsia" w:ascii="仿宋" w:hAnsi="仿宋" w:eastAsia="仿宋" w:cs="宋体"/>
          <w:sz w:val="28"/>
          <w:szCs w:val="28"/>
          <w:lang w:eastAsia="zh-CN"/>
        </w:rPr>
      </w:pPr>
      <w:r>
        <w:rPr>
          <w:rFonts w:hint="eastAsia" w:ascii="仿宋" w:hAnsi="仿宋" w:eastAsia="仿宋" w:cs="宋体"/>
          <w:sz w:val="28"/>
          <w:szCs w:val="28"/>
        </w:rPr>
        <w:t>4.1.3评分标准</w:t>
      </w:r>
      <w:r>
        <w:rPr>
          <w:rFonts w:hint="eastAsia" w:ascii="仿宋" w:hAnsi="仿宋" w:eastAsia="仿宋" w:cs="宋体"/>
          <w:sz w:val="28"/>
          <w:szCs w:val="28"/>
          <w:lang w:eastAsia="zh-CN"/>
        </w:rPr>
        <w:t>附后</w:t>
      </w:r>
      <w:bookmarkStart w:id="0" w:name="_GoBack"/>
      <w:bookmarkEnd w:id="0"/>
    </w:p>
    <w:p>
      <w:pPr>
        <w:spacing w:beforeLines="100" w:afterLines="100" w:line="460" w:lineRule="exact"/>
        <w:ind w:firstLine="560"/>
        <w:rPr>
          <w:rFonts w:ascii="仿宋" w:hAnsi="仿宋" w:eastAsia="仿宋" w:cs="宋体"/>
          <w:sz w:val="28"/>
          <w:szCs w:val="28"/>
        </w:rPr>
      </w:pPr>
      <w:r>
        <w:rPr>
          <w:rFonts w:hint="eastAsia" w:ascii="仿宋" w:hAnsi="仿宋" w:eastAsia="仿宋" w:cs="宋体"/>
          <w:sz w:val="28"/>
          <w:szCs w:val="28"/>
        </w:rPr>
        <w:t>5．投标文件的澄清：</w:t>
      </w:r>
    </w:p>
    <w:p>
      <w:pPr>
        <w:spacing w:beforeLines="100" w:afterLines="100" w:line="460" w:lineRule="exact"/>
        <w:ind w:firstLine="560"/>
        <w:rPr>
          <w:rFonts w:ascii="仿宋" w:hAnsi="仿宋" w:eastAsia="仿宋" w:cs="宋体"/>
          <w:sz w:val="28"/>
          <w:szCs w:val="28"/>
        </w:rPr>
      </w:pPr>
      <w:r>
        <w:rPr>
          <w:rFonts w:hint="eastAsia" w:ascii="仿宋" w:hAnsi="仿宋" w:eastAsia="仿宋" w:cs="宋体"/>
          <w:sz w:val="28"/>
          <w:szCs w:val="28"/>
        </w:rPr>
        <w:t>为了有助于对投标文件进行审查、评估和比较，招标方有权向投标方质疑，请投标方澄清其投标内容。投标方有责任按照招标方要求进行答疑和澄清。</w:t>
      </w:r>
    </w:p>
    <w:p>
      <w:pPr>
        <w:spacing w:beforeLines="100" w:afterLines="100" w:line="460" w:lineRule="exact"/>
        <w:ind w:firstLine="560"/>
        <w:rPr>
          <w:rFonts w:ascii="仿宋" w:hAnsi="仿宋" w:eastAsia="仿宋" w:cs="宋体"/>
          <w:sz w:val="28"/>
          <w:szCs w:val="28"/>
        </w:rPr>
      </w:pPr>
      <w:r>
        <w:rPr>
          <w:rFonts w:hint="eastAsia" w:ascii="仿宋" w:hAnsi="仿宋" w:eastAsia="仿宋" w:cs="宋体"/>
          <w:sz w:val="28"/>
          <w:szCs w:val="28"/>
        </w:rPr>
        <w:t>6．其它注意事项：</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（1）评标是招标工作的重要环节，评标工作在评委会内独立进行。</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（2）在投标、开标期间，投标人不得向评委询问情况，不得进行旨在影响评标结果的活动。</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（3）评委会不向落标方解释落标原因，不退还投标文件。</w:t>
      </w:r>
    </w:p>
    <w:p>
      <w:pPr>
        <w:spacing w:beforeLines="100" w:afterLines="100" w:line="460" w:lineRule="exact"/>
        <w:ind w:firstLine="420"/>
        <w:rPr>
          <w:rFonts w:ascii="仿宋" w:hAnsi="仿宋" w:eastAsia="仿宋" w:cs="宋体"/>
          <w:sz w:val="28"/>
          <w:szCs w:val="28"/>
        </w:rPr>
      </w:pPr>
      <w:r>
        <w:rPr>
          <w:rFonts w:hint="eastAsia" w:ascii="仿宋" w:hAnsi="仿宋" w:eastAsia="仿宋" w:cs="宋体"/>
          <w:sz w:val="28"/>
          <w:szCs w:val="28"/>
        </w:rPr>
        <w:t xml:space="preserve"> （4）竞标过程中不构成有效竞标的视为废标。</w:t>
      </w:r>
    </w:p>
    <w:p>
      <w:pPr>
        <w:spacing w:beforeLines="100" w:afterLines="100" w:line="460" w:lineRule="exact"/>
        <w:rPr>
          <w:rFonts w:ascii="仿宋" w:hAnsi="仿宋" w:eastAsia="仿宋" w:cs="宋体"/>
          <w:b/>
          <w:bCs/>
          <w:sz w:val="28"/>
          <w:szCs w:val="28"/>
        </w:rPr>
      </w:pPr>
      <w:r>
        <w:rPr>
          <w:rFonts w:hint="eastAsia" w:ascii="仿宋" w:hAnsi="仿宋" w:eastAsia="仿宋" w:cs="宋体"/>
          <w:b/>
          <w:bCs/>
          <w:sz w:val="28"/>
          <w:szCs w:val="28"/>
        </w:rPr>
        <w:t>五、签定合同</w:t>
      </w:r>
    </w:p>
    <w:p>
      <w:pPr>
        <w:widowControl/>
        <w:spacing w:beforeLines="100" w:afterLines="100" w:line="46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学校在开标后3个工作日内，通知中标人签订合同。</w:t>
      </w:r>
    </w:p>
    <w:p>
      <w:pPr>
        <w:widowControl/>
        <w:spacing w:beforeLines="100" w:afterLines="100" w:line="460" w:lineRule="exact"/>
        <w:jc w:val="right"/>
        <w:rPr>
          <w:sz w:val="28"/>
          <w:szCs w:val="28"/>
        </w:rPr>
      </w:pPr>
      <w:r>
        <w:rPr>
          <w:rFonts w:hint="eastAsia" w:ascii="仿宋" w:hAnsi="仿宋" w:eastAsia="仿宋" w:cs="仿宋"/>
          <w:kern w:val="0"/>
          <w:sz w:val="28"/>
          <w:szCs w:val="28"/>
        </w:rPr>
        <w:t>辽宁工业大学招标办公室</w:t>
      </w:r>
    </w:p>
    <w:p>
      <w:pPr>
        <w:widowControl/>
        <w:spacing w:beforeLines="100" w:afterLines="100" w:line="460" w:lineRule="exact"/>
        <w:ind w:right="560"/>
        <w:jc w:val="center"/>
        <w:rPr>
          <w:rFonts w:ascii="仿宋" w:hAnsi="仿宋" w:eastAsia="仿宋" w:cs="仿宋"/>
          <w:kern w:val="0"/>
          <w:sz w:val="28"/>
          <w:szCs w:val="28"/>
        </w:rPr>
      </w:pPr>
      <w:r>
        <w:rPr>
          <w:rFonts w:hint="eastAsia" w:ascii="仿宋" w:hAnsi="仿宋" w:eastAsia="仿宋" w:cs="仿宋"/>
          <w:kern w:val="0"/>
          <w:sz w:val="28"/>
          <w:szCs w:val="28"/>
        </w:rPr>
        <w:t xml:space="preserve">                                       2018年7月</w:t>
      </w:r>
    </w:p>
    <w:p>
      <w:pPr>
        <w:spacing w:line="440" w:lineRule="exact"/>
        <w:rPr>
          <w:rFonts w:ascii="仿宋" w:hAnsi="仿宋" w:eastAsia="仿宋" w:cs="仿宋"/>
          <w:b/>
          <w:kern w:val="0"/>
          <w:sz w:val="28"/>
          <w:szCs w:val="28"/>
        </w:rPr>
      </w:pPr>
    </w:p>
    <w:p>
      <w:pPr>
        <w:spacing w:line="440" w:lineRule="exact"/>
        <w:jc w:val="center"/>
        <w:rPr>
          <w:rFonts w:ascii="宋体" w:hAnsi="宋体" w:cs="宋体"/>
          <w:b/>
          <w:sz w:val="36"/>
          <w:szCs w:val="36"/>
        </w:rPr>
      </w:pPr>
      <w:r>
        <w:rPr>
          <w:rFonts w:hint="eastAsia" w:ascii="宋体" w:hAnsi="宋体" w:cs="宋体"/>
          <w:b/>
          <w:sz w:val="36"/>
          <w:szCs w:val="36"/>
        </w:rPr>
        <w:t>投标书</w:t>
      </w:r>
    </w:p>
    <w:p>
      <w:pPr>
        <w:spacing w:line="440" w:lineRule="exact"/>
        <w:rPr>
          <w:rFonts w:ascii="宋体" w:hAnsi="宋体" w:cs="宋体"/>
          <w:sz w:val="28"/>
        </w:rPr>
      </w:pPr>
    </w:p>
    <w:p>
      <w:pPr>
        <w:spacing w:line="440" w:lineRule="exact"/>
        <w:rPr>
          <w:rFonts w:ascii="宋体" w:hAnsi="宋体" w:cs="宋体"/>
          <w:b/>
          <w:sz w:val="28"/>
        </w:rPr>
      </w:pPr>
      <w:r>
        <w:rPr>
          <w:rFonts w:hint="eastAsia" w:ascii="宋体" w:hAnsi="宋体" w:cs="宋体"/>
          <w:b/>
          <w:sz w:val="28"/>
        </w:rPr>
        <w:t>致：辽宁工业大学</w:t>
      </w:r>
    </w:p>
    <w:p>
      <w:pPr>
        <w:spacing w:line="440" w:lineRule="exact"/>
        <w:ind w:firstLine="700"/>
        <w:rPr>
          <w:rFonts w:ascii="宋体" w:hAnsi="宋体" w:cs="宋体"/>
          <w:sz w:val="28"/>
        </w:rPr>
      </w:pPr>
    </w:p>
    <w:p>
      <w:pPr>
        <w:ind w:firstLine="560" w:firstLineChars="200"/>
        <w:jc w:val="left"/>
        <w:rPr>
          <w:rFonts w:ascii="宋体" w:hAnsi="宋体" w:cs="宋体"/>
          <w:b/>
          <w:bCs/>
          <w:color w:val="000000"/>
          <w:sz w:val="28"/>
          <w:szCs w:val="28"/>
        </w:rPr>
      </w:pPr>
      <w:r>
        <w:rPr>
          <w:rFonts w:hint="eastAsia" w:ascii="仿宋" w:hAnsi="仿宋" w:eastAsia="仿宋" w:cs="宋体"/>
          <w:sz w:val="28"/>
        </w:rPr>
        <w:t>根据贵方辽宁工业大学校园快递集中派送服务项目招标公告，我</w:t>
      </w:r>
      <w:r>
        <w:rPr>
          <w:rFonts w:hint="eastAsia" w:ascii="仿宋" w:hAnsi="仿宋" w:eastAsia="仿宋" w:cs="宋体"/>
          <w:color w:val="000000"/>
          <w:sz w:val="28"/>
        </w:rPr>
        <w:t>单位法人代表（签字）_______________正式授权并代表投标方______________________________（投标方名称）提交下述文件文本正本一份和副本六份。</w:t>
      </w:r>
    </w:p>
    <w:p>
      <w:pPr>
        <w:spacing w:line="440" w:lineRule="exact"/>
        <w:ind w:firstLine="420"/>
        <w:rPr>
          <w:rFonts w:ascii="仿宋" w:hAnsi="仿宋" w:eastAsia="仿宋" w:cs="宋体"/>
          <w:sz w:val="28"/>
        </w:rPr>
      </w:pPr>
      <w:r>
        <w:rPr>
          <w:rFonts w:hint="eastAsia" w:ascii="仿宋" w:hAnsi="仿宋" w:eastAsia="仿宋" w:cs="宋体"/>
          <w:color w:val="000000"/>
          <w:sz w:val="28"/>
        </w:rPr>
        <w:t>据此函，法人代表宣布同意如下：</w:t>
      </w:r>
    </w:p>
    <w:p>
      <w:pPr>
        <w:spacing w:line="440" w:lineRule="exact"/>
        <w:ind w:left="420"/>
        <w:rPr>
          <w:rFonts w:ascii="仿宋" w:hAnsi="仿宋" w:eastAsia="仿宋" w:cs="宋体"/>
          <w:sz w:val="28"/>
        </w:rPr>
      </w:pPr>
      <w:r>
        <w:rPr>
          <w:rFonts w:hint="eastAsia" w:ascii="仿宋" w:hAnsi="仿宋" w:eastAsia="仿宋" w:cs="宋体"/>
          <w:sz w:val="28"/>
        </w:rPr>
        <w:t>1．投标方将按招租文件的规定履行合同责任和义务。</w:t>
      </w:r>
    </w:p>
    <w:p>
      <w:pPr>
        <w:spacing w:line="440" w:lineRule="exact"/>
        <w:ind w:firstLine="420"/>
        <w:rPr>
          <w:rFonts w:ascii="仿宋" w:hAnsi="仿宋" w:eastAsia="仿宋" w:cs="宋体"/>
          <w:sz w:val="28"/>
        </w:rPr>
      </w:pPr>
      <w:r>
        <w:rPr>
          <w:rFonts w:hint="eastAsia" w:ascii="仿宋" w:hAnsi="仿宋" w:eastAsia="仿宋" w:cs="宋体"/>
          <w:sz w:val="28"/>
        </w:rPr>
        <w:t>2．投标方已详细审查全部招标文件，完全理解并同意招标文件规定的所有事项、全部参考资料及有关附件。</w:t>
      </w:r>
    </w:p>
    <w:p>
      <w:pPr>
        <w:spacing w:line="440" w:lineRule="exact"/>
        <w:ind w:firstLine="420"/>
        <w:rPr>
          <w:rFonts w:ascii="仿宋" w:hAnsi="仿宋" w:eastAsia="仿宋" w:cs="宋体"/>
          <w:sz w:val="28"/>
        </w:rPr>
      </w:pPr>
      <w:r>
        <w:rPr>
          <w:rFonts w:hint="eastAsia" w:ascii="仿宋" w:hAnsi="仿宋" w:eastAsia="仿宋" w:cs="宋体"/>
          <w:sz w:val="28"/>
        </w:rPr>
        <w:t>3．在规定的开标议标期间，投标方不得以任何理由撤回投标，否则投标保证金将不予退回。</w:t>
      </w:r>
    </w:p>
    <w:p>
      <w:pPr>
        <w:spacing w:line="440" w:lineRule="exact"/>
        <w:ind w:firstLine="420"/>
        <w:rPr>
          <w:rFonts w:ascii="仿宋" w:hAnsi="仿宋" w:eastAsia="仿宋" w:cs="宋体"/>
          <w:sz w:val="28"/>
        </w:rPr>
      </w:pPr>
      <w:r>
        <w:rPr>
          <w:rFonts w:hint="eastAsia" w:ascii="仿宋" w:hAnsi="仿宋" w:eastAsia="仿宋" w:cs="宋体"/>
          <w:sz w:val="28"/>
        </w:rPr>
        <w:t>4．投标方同意提供按照贵方要求的与其投标有关的一切数据或资料。</w:t>
      </w:r>
    </w:p>
    <w:p>
      <w:pPr>
        <w:spacing w:line="440" w:lineRule="exact"/>
        <w:ind w:firstLine="420"/>
        <w:rPr>
          <w:rFonts w:ascii="仿宋" w:hAnsi="仿宋" w:eastAsia="仿宋" w:cs="宋体"/>
          <w:sz w:val="28"/>
        </w:rPr>
      </w:pPr>
      <w:r>
        <w:rPr>
          <w:rFonts w:hint="eastAsia" w:ascii="仿宋" w:hAnsi="仿宋" w:eastAsia="仿宋" w:cs="宋体"/>
          <w:sz w:val="28"/>
        </w:rPr>
        <w:t>5．与本投标有关的一切正式往来通讯请寄：</w:t>
      </w:r>
    </w:p>
    <w:p>
      <w:pPr>
        <w:spacing w:line="440" w:lineRule="exact"/>
        <w:ind w:firstLine="420"/>
        <w:rPr>
          <w:rFonts w:ascii="仿宋" w:hAnsi="仿宋" w:eastAsia="仿宋" w:cs="宋体"/>
          <w:sz w:val="28"/>
        </w:rPr>
      </w:pPr>
      <w:r>
        <w:rPr>
          <w:rFonts w:hint="eastAsia" w:ascii="仿宋" w:hAnsi="仿宋" w:eastAsia="仿宋" w:cs="宋体"/>
          <w:sz w:val="28"/>
        </w:rPr>
        <w:t>地址：</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邮编：</w:t>
      </w:r>
    </w:p>
    <w:p>
      <w:pPr>
        <w:spacing w:line="440" w:lineRule="exact"/>
        <w:ind w:firstLine="420"/>
        <w:rPr>
          <w:rFonts w:ascii="仿宋" w:hAnsi="仿宋" w:eastAsia="仿宋" w:cs="宋体"/>
          <w:sz w:val="28"/>
        </w:rPr>
      </w:pPr>
      <w:r>
        <w:rPr>
          <w:rFonts w:hint="eastAsia" w:ascii="仿宋" w:hAnsi="仿宋" w:eastAsia="仿宋" w:cs="宋体"/>
          <w:sz w:val="28"/>
        </w:rPr>
        <w:t>电话：</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传真：</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投标方代表姓名、职务（印刷体）：</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投标方名称：</w:t>
      </w:r>
    </w:p>
    <w:p>
      <w:pPr>
        <w:spacing w:line="440" w:lineRule="exact"/>
        <w:ind w:firstLine="420"/>
        <w:rPr>
          <w:rFonts w:ascii="仿宋" w:hAnsi="仿宋" w:eastAsia="仿宋" w:cs="宋体"/>
          <w:sz w:val="28"/>
        </w:rPr>
      </w:pPr>
      <w:r>
        <w:rPr>
          <w:rFonts w:hint="eastAsia" w:ascii="仿宋" w:hAnsi="仿宋" w:eastAsia="仿宋" w:cs="宋体"/>
          <w:sz w:val="28"/>
        </w:rPr>
        <w:t>（公章）</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全权代表人签字：</w:t>
      </w:r>
    </w:p>
    <w:p>
      <w:pPr>
        <w:spacing w:line="440" w:lineRule="exact"/>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日期： 2018年7月  日</w:t>
      </w:r>
    </w:p>
    <w:p>
      <w:pPr>
        <w:spacing w:line="440" w:lineRule="exact"/>
        <w:ind w:firstLine="420"/>
        <w:rPr>
          <w:rStyle w:val="5"/>
          <w:rFonts w:ascii="仿宋" w:hAnsi="仿宋" w:eastAsia="仿宋" w:cs="宋体"/>
          <w:b w:val="0"/>
          <w:sz w:val="28"/>
        </w:rPr>
      </w:pPr>
    </w:p>
    <w:p>
      <w:pPr>
        <w:spacing w:line="440" w:lineRule="exact"/>
        <w:jc w:val="center"/>
        <w:rPr>
          <w:rFonts w:ascii="宋体" w:hAnsi="宋体" w:cs="宋体"/>
          <w:b/>
          <w:sz w:val="36"/>
          <w:szCs w:val="36"/>
        </w:rPr>
      </w:pPr>
    </w:p>
    <w:p>
      <w:pPr>
        <w:spacing w:line="440" w:lineRule="exact"/>
        <w:jc w:val="center"/>
        <w:rPr>
          <w:rFonts w:ascii="宋体" w:hAnsi="宋体" w:cs="宋体"/>
          <w:b/>
          <w:sz w:val="36"/>
          <w:szCs w:val="36"/>
        </w:rPr>
      </w:pPr>
    </w:p>
    <w:p>
      <w:pPr>
        <w:spacing w:line="440" w:lineRule="exact"/>
        <w:rPr>
          <w:rFonts w:ascii="宋体" w:hAnsi="宋体" w:cs="宋体"/>
          <w:b/>
          <w:sz w:val="36"/>
          <w:szCs w:val="36"/>
        </w:rPr>
      </w:pPr>
    </w:p>
    <w:p>
      <w:pPr>
        <w:spacing w:line="440" w:lineRule="exact"/>
        <w:jc w:val="center"/>
        <w:rPr>
          <w:rFonts w:ascii="宋体" w:hAnsi="宋体" w:cs="宋体"/>
          <w:b/>
          <w:sz w:val="36"/>
          <w:szCs w:val="36"/>
        </w:rPr>
      </w:pPr>
      <w:r>
        <w:rPr>
          <w:rFonts w:hint="eastAsia" w:ascii="宋体" w:hAnsi="宋体" w:cs="宋体"/>
          <w:b/>
          <w:sz w:val="36"/>
          <w:szCs w:val="36"/>
        </w:rPr>
        <w:t>投标人基本情况</w:t>
      </w:r>
    </w:p>
    <w:p>
      <w:pPr>
        <w:jc w:val="center"/>
        <w:rPr>
          <w:rFonts w:ascii="宋体" w:hAnsi="宋体" w:cs="宋体"/>
          <w:b/>
          <w:sz w:val="32"/>
          <w:szCs w:val="32"/>
        </w:rPr>
      </w:pPr>
      <w:r>
        <w:rPr>
          <w:rFonts w:hint="eastAsia" w:ascii="宋体" w:hAnsi="宋体" w:cs="宋体"/>
          <w:b/>
          <w:sz w:val="32"/>
          <w:szCs w:val="32"/>
        </w:rPr>
        <w:t>投标人基本情况表(一)</w:t>
      </w: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2493"/>
        <w:gridCol w:w="750"/>
        <w:gridCol w:w="177"/>
        <w:gridCol w:w="594"/>
        <w:gridCol w:w="138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单位名称</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单位地址</w:t>
            </w:r>
          </w:p>
        </w:tc>
        <w:tc>
          <w:tcPr>
            <w:tcW w:w="3627" w:type="dxa"/>
            <w:gridSpan w:val="5"/>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联系电话</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联系人</w:t>
            </w:r>
          </w:p>
        </w:tc>
        <w:tc>
          <w:tcPr>
            <w:tcW w:w="3627" w:type="dxa"/>
            <w:gridSpan w:val="5"/>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成立时间</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注册资金（万元）</w:t>
            </w:r>
          </w:p>
        </w:tc>
        <w:tc>
          <w:tcPr>
            <w:tcW w:w="750" w:type="dxa"/>
            <w:vAlign w:val="center"/>
          </w:tcPr>
          <w:p>
            <w:pPr>
              <w:jc w:val="center"/>
              <w:rPr>
                <w:rFonts w:ascii="仿宋" w:hAnsi="仿宋" w:eastAsia="仿宋" w:cs="宋体"/>
                <w:sz w:val="28"/>
                <w:szCs w:val="28"/>
              </w:rPr>
            </w:pPr>
          </w:p>
        </w:tc>
        <w:tc>
          <w:tcPr>
            <w:tcW w:w="2157" w:type="dxa"/>
            <w:gridSpan w:val="3"/>
            <w:vAlign w:val="center"/>
          </w:tcPr>
          <w:p>
            <w:pPr>
              <w:jc w:val="center"/>
              <w:rPr>
                <w:rFonts w:ascii="仿宋" w:hAnsi="仿宋" w:eastAsia="仿宋" w:cs="宋体"/>
                <w:sz w:val="24"/>
              </w:rPr>
            </w:pPr>
            <w:r>
              <w:rPr>
                <w:rFonts w:hint="eastAsia" w:ascii="仿宋" w:hAnsi="仿宋" w:eastAsia="仿宋" w:cs="宋体"/>
                <w:sz w:val="24"/>
              </w:rPr>
              <w:t>固定资产（万元）</w:t>
            </w:r>
          </w:p>
        </w:tc>
        <w:tc>
          <w:tcPr>
            <w:tcW w:w="720" w:type="dxa"/>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法人代表</w:t>
            </w:r>
          </w:p>
        </w:tc>
        <w:tc>
          <w:tcPr>
            <w:tcW w:w="1800" w:type="dxa"/>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技术负责人</w:t>
            </w:r>
          </w:p>
        </w:tc>
        <w:tc>
          <w:tcPr>
            <w:tcW w:w="3627" w:type="dxa"/>
            <w:gridSpan w:val="5"/>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restart"/>
            <w:vAlign w:val="center"/>
          </w:tcPr>
          <w:p>
            <w:pPr>
              <w:jc w:val="center"/>
              <w:rPr>
                <w:rFonts w:ascii="仿宋" w:hAnsi="仿宋" w:eastAsia="仿宋" w:cs="宋体"/>
                <w:sz w:val="24"/>
              </w:rPr>
            </w:pPr>
            <w:r>
              <w:rPr>
                <w:rFonts w:hint="eastAsia" w:ascii="仿宋" w:hAnsi="仿宋" w:eastAsia="仿宋" w:cs="宋体"/>
                <w:sz w:val="24"/>
              </w:rPr>
              <w:t>资质等级情况</w:t>
            </w:r>
          </w:p>
        </w:tc>
        <w:tc>
          <w:tcPr>
            <w:tcW w:w="1800" w:type="dxa"/>
            <w:vAlign w:val="center"/>
          </w:tcPr>
          <w:p>
            <w:pPr>
              <w:jc w:val="center"/>
              <w:rPr>
                <w:rFonts w:ascii="仿宋" w:hAnsi="仿宋" w:eastAsia="仿宋" w:cs="宋体"/>
                <w:sz w:val="24"/>
              </w:rPr>
            </w:pPr>
          </w:p>
          <w:p>
            <w:pPr>
              <w:jc w:val="center"/>
              <w:rPr>
                <w:rFonts w:ascii="仿宋" w:hAnsi="仿宋" w:eastAsia="仿宋" w:cs="宋体"/>
                <w:sz w:val="24"/>
              </w:rPr>
            </w:pPr>
            <w:r>
              <w:rPr>
                <w:rFonts w:hint="eastAsia" w:ascii="仿宋" w:hAnsi="仿宋" w:eastAsia="仿宋" w:cs="宋体"/>
                <w:sz w:val="24"/>
              </w:rPr>
              <w:t>资质名称</w:t>
            </w:r>
          </w:p>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颁发部门</w:t>
            </w:r>
          </w:p>
        </w:tc>
        <w:tc>
          <w:tcPr>
            <w:tcW w:w="1521" w:type="dxa"/>
            <w:gridSpan w:val="3"/>
            <w:vAlign w:val="center"/>
          </w:tcPr>
          <w:p>
            <w:pPr>
              <w:jc w:val="center"/>
              <w:rPr>
                <w:rFonts w:ascii="仿宋" w:hAnsi="仿宋" w:eastAsia="仿宋" w:cs="宋体"/>
                <w:sz w:val="24"/>
              </w:rPr>
            </w:pPr>
            <w:r>
              <w:rPr>
                <w:rFonts w:hint="eastAsia" w:ascii="仿宋" w:hAnsi="仿宋" w:eastAsia="仿宋" w:cs="宋体"/>
                <w:sz w:val="24"/>
              </w:rPr>
              <w:t>资质等级</w:t>
            </w:r>
          </w:p>
        </w:tc>
        <w:tc>
          <w:tcPr>
            <w:tcW w:w="2106" w:type="dxa"/>
            <w:gridSpan w:val="2"/>
            <w:vAlign w:val="center"/>
          </w:tcPr>
          <w:p>
            <w:pPr>
              <w:jc w:val="center"/>
              <w:rPr>
                <w:rFonts w:ascii="仿宋" w:hAnsi="仿宋" w:eastAsia="仿宋" w:cs="宋体"/>
                <w:sz w:val="24"/>
              </w:rPr>
            </w:pPr>
            <w:r>
              <w:rPr>
                <w:rFonts w:hint="eastAsia" w:ascii="仿宋" w:hAnsi="仿宋" w:eastAsia="仿宋" w:cs="宋体"/>
                <w:sz w:val="24"/>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tcPr>
          <w:p>
            <w:pPr>
              <w:jc w:val="center"/>
              <w:rPr>
                <w:rFonts w:ascii="仿宋" w:hAnsi="仿宋" w:eastAsia="仿宋" w:cs="宋体"/>
                <w:sz w:val="28"/>
                <w:szCs w:val="28"/>
              </w:rPr>
            </w:pPr>
          </w:p>
        </w:tc>
        <w:tc>
          <w:tcPr>
            <w:tcW w:w="1800" w:type="dxa"/>
            <w:vAlign w:val="center"/>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8"/>
                <w:szCs w:val="28"/>
              </w:rPr>
            </w:pPr>
          </w:p>
        </w:tc>
        <w:tc>
          <w:tcPr>
            <w:tcW w:w="1521" w:type="dxa"/>
            <w:gridSpan w:val="3"/>
            <w:vAlign w:val="center"/>
          </w:tcPr>
          <w:p>
            <w:pPr>
              <w:jc w:val="center"/>
              <w:rPr>
                <w:rFonts w:ascii="仿宋" w:hAnsi="仿宋" w:eastAsia="仿宋" w:cs="宋体"/>
                <w:sz w:val="28"/>
                <w:szCs w:val="28"/>
              </w:rPr>
            </w:pPr>
          </w:p>
        </w:tc>
        <w:tc>
          <w:tcPr>
            <w:tcW w:w="2106" w:type="dxa"/>
            <w:gridSpan w:val="2"/>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tcPr>
          <w:p>
            <w:pPr>
              <w:jc w:val="center"/>
              <w:rPr>
                <w:rFonts w:ascii="仿宋" w:hAnsi="仿宋" w:eastAsia="仿宋" w:cs="宋体"/>
                <w:sz w:val="28"/>
                <w:szCs w:val="28"/>
              </w:rPr>
            </w:pPr>
          </w:p>
        </w:tc>
        <w:tc>
          <w:tcPr>
            <w:tcW w:w="1800" w:type="dxa"/>
            <w:vAlign w:val="center"/>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8"/>
                <w:szCs w:val="28"/>
              </w:rPr>
            </w:pPr>
          </w:p>
        </w:tc>
        <w:tc>
          <w:tcPr>
            <w:tcW w:w="1521" w:type="dxa"/>
            <w:gridSpan w:val="3"/>
            <w:vAlign w:val="center"/>
          </w:tcPr>
          <w:p>
            <w:pPr>
              <w:jc w:val="center"/>
              <w:rPr>
                <w:rFonts w:ascii="仿宋" w:hAnsi="仿宋" w:eastAsia="仿宋" w:cs="宋体"/>
                <w:sz w:val="28"/>
                <w:szCs w:val="28"/>
              </w:rPr>
            </w:pPr>
          </w:p>
        </w:tc>
        <w:tc>
          <w:tcPr>
            <w:tcW w:w="2106" w:type="dxa"/>
            <w:gridSpan w:val="2"/>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0" w:type="dxa"/>
            <w:gridSpan w:val="5"/>
            <w:vAlign w:val="center"/>
          </w:tcPr>
          <w:p>
            <w:pPr>
              <w:jc w:val="center"/>
              <w:rPr>
                <w:rFonts w:ascii="仿宋" w:hAnsi="仿宋" w:eastAsia="仿宋" w:cs="宋体"/>
                <w:sz w:val="24"/>
              </w:rPr>
            </w:pPr>
            <w:r>
              <w:rPr>
                <w:rFonts w:hint="eastAsia" w:ascii="仿宋" w:hAnsi="仿宋" w:eastAsia="仿宋" w:cs="宋体"/>
                <w:sz w:val="24"/>
              </w:rPr>
              <w:t>投标人近三年有无不良记录或因招标违规涉及司法诉讼情况</w:t>
            </w:r>
          </w:p>
        </w:tc>
        <w:tc>
          <w:tcPr>
            <w:tcW w:w="2700" w:type="dxa"/>
            <w:gridSpan w:val="3"/>
          </w:tcPr>
          <w:p>
            <w:pPr>
              <w:jc w:val="center"/>
              <w:rPr>
                <w:rFonts w:ascii="仿宋" w:hAnsi="仿宋" w:eastAsia="仿宋" w:cs="宋体"/>
                <w:sz w:val="28"/>
                <w:szCs w:val="28"/>
              </w:rPr>
            </w:pPr>
            <w:r>
              <w:rPr>
                <w:rFonts w:hint="eastAsia" w:ascii="仿宋" w:hAnsi="仿宋" w:eastAsia="仿宋" w:cs="宋体"/>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2" w:hRule="atLeast"/>
        </w:trPr>
        <w:tc>
          <w:tcPr>
            <w:tcW w:w="1620" w:type="dxa"/>
          </w:tcPr>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t>投标人近三年经营项目</w:t>
            </w: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tc>
        <w:tc>
          <w:tcPr>
            <w:tcW w:w="7920" w:type="dxa"/>
            <w:gridSpan w:val="7"/>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t>其他有竞争力的说明</w:t>
            </w: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tc>
        <w:tc>
          <w:tcPr>
            <w:tcW w:w="7920" w:type="dxa"/>
            <w:gridSpan w:val="7"/>
          </w:tcPr>
          <w:p>
            <w:pPr>
              <w:jc w:val="center"/>
              <w:rPr>
                <w:rFonts w:ascii="仿宋" w:hAnsi="仿宋" w:eastAsia="仿宋" w:cs="宋体"/>
                <w:sz w:val="28"/>
                <w:szCs w:val="28"/>
              </w:rPr>
            </w:pPr>
          </w:p>
        </w:tc>
      </w:tr>
    </w:tbl>
    <w:p>
      <w:pPr>
        <w:rPr>
          <w:rFonts w:ascii="仿宋" w:hAnsi="仿宋" w:eastAsia="仿宋" w:cs="宋体"/>
          <w:b/>
          <w:sz w:val="36"/>
          <w:szCs w:val="36"/>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spacing w:line="440" w:lineRule="exact"/>
        <w:jc w:val="center"/>
        <w:rPr>
          <w:rFonts w:ascii="宋体" w:hAnsi="宋体" w:cs="宋体"/>
          <w:b/>
          <w:sz w:val="36"/>
          <w:szCs w:val="36"/>
        </w:rPr>
      </w:pPr>
    </w:p>
    <w:p>
      <w:pPr>
        <w:pStyle w:val="8"/>
        <w:spacing w:line="400" w:lineRule="exact"/>
        <w:ind w:firstLine="0" w:firstLineChars="0"/>
        <w:jc w:val="center"/>
        <w:rPr>
          <w:rFonts w:ascii="宋体" w:hAnsi="宋体" w:cs="宋体"/>
          <w:b/>
          <w:sz w:val="32"/>
          <w:szCs w:val="32"/>
        </w:rPr>
      </w:pPr>
      <w:r>
        <w:rPr>
          <w:rFonts w:hint="eastAsia" w:ascii="宋体" w:hAnsi="宋体" w:cs="宋体"/>
          <w:b/>
          <w:sz w:val="32"/>
          <w:szCs w:val="32"/>
        </w:rPr>
        <w:t>投标人基本情况表(二)</w:t>
      </w:r>
    </w:p>
    <w:p>
      <w:pPr>
        <w:jc w:val="center"/>
        <w:rPr>
          <w:rFonts w:ascii="宋体" w:hAnsi="宋体" w:cs="宋体"/>
          <w:sz w:val="32"/>
          <w:szCs w:val="32"/>
        </w:rPr>
      </w:pPr>
    </w:p>
    <w:tbl>
      <w:tblPr>
        <w:tblStyle w:val="7"/>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jc w:val="center"/>
        </w:trPr>
        <w:tc>
          <w:tcPr>
            <w:tcW w:w="8775" w:type="dxa"/>
          </w:tcPr>
          <w:p>
            <w:pPr>
              <w:spacing w:beforeLines="100"/>
              <w:rPr>
                <w:rFonts w:ascii="宋体" w:hAnsi="宋体" w:cs="宋体"/>
                <w:sz w:val="32"/>
                <w:szCs w:val="32"/>
              </w:rPr>
            </w:pPr>
          </w:p>
          <w:p>
            <w:pPr>
              <w:spacing w:beforeLines="100"/>
              <w:rPr>
                <w:rFonts w:ascii="宋体" w:hAnsi="宋体" w:cs="宋体"/>
                <w:sz w:val="32"/>
                <w:szCs w:val="32"/>
              </w:rPr>
            </w:pPr>
          </w:p>
          <w:p>
            <w:pPr>
              <w:spacing w:beforeLines="100"/>
              <w:jc w:val="center"/>
              <w:rPr>
                <w:rFonts w:ascii="宋体" w:hAnsi="宋体" w:cs="宋体"/>
                <w:sz w:val="28"/>
                <w:szCs w:val="28"/>
              </w:rPr>
            </w:pPr>
            <w:r>
              <w:rPr>
                <w:rFonts w:hint="eastAsia" w:ascii="宋体" w:hAnsi="宋体" w:cs="宋体"/>
                <w:sz w:val="28"/>
                <w:szCs w:val="28"/>
              </w:rPr>
              <w:t>身份证复印件（投标时用）</w:t>
            </w:r>
          </w:p>
          <w:p>
            <w:pPr>
              <w:spacing w:beforeLines="100"/>
              <w:jc w:val="center"/>
              <w:rPr>
                <w:rFonts w:ascii="宋体" w:hAnsi="宋体" w:cs="宋体"/>
                <w:sz w:val="32"/>
                <w:szCs w:val="32"/>
              </w:rPr>
            </w:pPr>
          </w:p>
          <w:p>
            <w:pPr>
              <w:spacing w:beforeLines="100"/>
              <w:jc w:val="center"/>
              <w:rPr>
                <w:rFonts w:ascii="宋体" w:hAnsi="宋体" w:cs="宋体"/>
                <w:sz w:val="32"/>
                <w:szCs w:val="32"/>
              </w:rPr>
            </w:pPr>
          </w:p>
          <w:p>
            <w:pPr>
              <w:spacing w:beforeLines="100"/>
              <w:rPr>
                <w:rFonts w:ascii="宋体" w:hAnsi="宋体" w:cs="宋体"/>
                <w:sz w:val="28"/>
                <w:szCs w:val="28"/>
              </w:rPr>
            </w:pPr>
            <w:r>
              <w:rPr>
                <w:rFonts w:hint="eastAsia" w:ascii="宋体" w:hAnsi="宋体" w:cs="宋体"/>
                <w:sz w:val="28"/>
                <w:szCs w:val="28"/>
              </w:rPr>
              <w:t>投标人签字:             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6" w:hRule="atLeast"/>
          <w:jc w:val="center"/>
        </w:trPr>
        <w:tc>
          <w:tcPr>
            <w:tcW w:w="8775" w:type="dxa"/>
          </w:tcPr>
          <w:p>
            <w:pPr>
              <w:spacing w:beforeLines="100"/>
              <w:rPr>
                <w:rFonts w:ascii="宋体" w:hAnsi="宋体" w:cs="宋体"/>
                <w:sz w:val="32"/>
                <w:szCs w:val="32"/>
              </w:rPr>
            </w:pPr>
          </w:p>
          <w:p>
            <w:pPr>
              <w:spacing w:beforeLines="100"/>
              <w:rPr>
                <w:rFonts w:ascii="宋体" w:hAnsi="宋体" w:cs="宋体"/>
                <w:sz w:val="32"/>
                <w:szCs w:val="32"/>
              </w:rPr>
            </w:pPr>
          </w:p>
          <w:p>
            <w:pPr>
              <w:spacing w:beforeLines="100"/>
              <w:jc w:val="center"/>
              <w:rPr>
                <w:rFonts w:ascii="宋体" w:hAnsi="宋体" w:cs="宋体"/>
                <w:sz w:val="28"/>
                <w:szCs w:val="28"/>
              </w:rPr>
            </w:pPr>
            <w:r>
              <w:rPr>
                <w:rFonts w:hint="eastAsia" w:ascii="宋体" w:hAnsi="宋体" w:cs="宋体"/>
                <w:sz w:val="28"/>
                <w:szCs w:val="28"/>
              </w:rPr>
              <w:t>身份证复印件（签订合同时用）</w:t>
            </w:r>
          </w:p>
          <w:p>
            <w:pPr>
              <w:spacing w:beforeLines="100"/>
              <w:jc w:val="center"/>
              <w:rPr>
                <w:rFonts w:ascii="宋体" w:hAnsi="宋体" w:cs="宋体"/>
                <w:sz w:val="32"/>
                <w:szCs w:val="32"/>
              </w:rPr>
            </w:pPr>
          </w:p>
          <w:p>
            <w:pPr>
              <w:spacing w:beforeLines="100"/>
              <w:jc w:val="center"/>
              <w:rPr>
                <w:rFonts w:ascii="宋体" w:hAnsi="宋体" w:cs="宋体"/>
                <w:sz w:val="32"/>
                <w:szCs w:val="32"/>
              </w:rPr>
            </w:pPr>
          </w:p>
          <w:p>
            <w:pPr>
              <w:spacing w:beforeLines="50"/>
              <w:rPr>
                <w:rFonts w:ascii="宋体" w:hAnsi="宋体" w:cs="宋体"/>
                <w:sz w:val="28"/>
                <w:szCs w:val="28"/>
              </w:rPr>
            </w:pPr>
            <w:r>
              <w:rPr>
                <w:rFonts w:hint="eastAsia" w:ascii="宋体" w:hAnsi="宋体" w:cs="宋体"/>
                <w:sz w:val="28"/>
                <w:szCs w:val="28"/>
              </w:rPr>
              <w:t>签订合同人签字：         手机号：</w:t>
            </w:r>
          </w:p>
        </w:tc>
      </w:tr>
    </w:tbl>
    <w:p/>
    <w:p/>
    <w:p/>
    <w:p>
      <w:pPr>
        <w:spacing w:line="440" w:lineRule="exact"/>
        <w:rPr>
          <w:rFonts w:ascii="仿宋" w:hAnsi="仿宋" w:eastAsia="仿宋" w:cs="仿宋"/>
          <w:b/>
          <w:kern w:val="0"/>
          <w:sz w:val="28"/>
          <w:szCs w:val="28"/>
        </w:rPr>
      </w:pPr>
    </w:p>
    <w:p>
      <w:pPr>
        <w:jc w:val="center"/>
        <w:rPr>
          <w:rFonts w:ascii="宋体" w:hAnsi="宋体" w:cs="宋体"/>
          <w:b/>
          <w:bCs/>
          <w:color w:val="000000"/>
          <w:sz w:val="36"/>
          <w:szCs w:val="36"/>
        </w:rPr>
      </w:pPr>
      <w:r>
        <w:rPr>
          <w:rFonts w:hint="eastAsia" w:ascii="宋体" w:hAnsi="宋体" w:cs="宋体"/>
          <w:b/>
          <w:bCs/>
          <w:color w:val="000000"/>
          <w:sz w:val="36"/>
          <w:szCs w:val="36"/>
        </w:rPr>
        <w:t>辽宁工业大学校园快递</w:t>
      </w:r>
    </w:p>
    <w:p>
      <w:pPr>
        <w:jc w:val="center"/>
        <w:rPr>
          <w:rFonts w:ascii="宋体" w:hAnsi="宋体"/>
          <w:b/>
          <w:sz w:val="36"/>
          <w:szCs w:val="36"/>
        </w:rPr>
      </w:pPr>
      <w:r>
        <w:rPr>
          <w:rFonts w:hint="eastAsia" w:ascii="宋体" w:hAnsi="宋体" w:cs="宋体"/>
          <w:b/>
          <w:bCs/>
          <w:color w:val="000000"/>
          <w:sz w:val="36"/>
          <w:szCs w:val="36"/>
        </w:rPr>
        <w:t>集中派送服务项目</w:t>
      </w:r>
      <w:r>
        <w:rPr>
          <w:rFonts w:hint="eastAsia" w:ascii="宋体" w:hAnsi="宋体"/>
          <w:b/>
          <w:sz w:val="36"/>
          <w:szCs w:val="36"/>
        </w:rPr>
        <w:t>评分标准</w:t>
      </w:r>
    </w:p>
    <w:p>
      <w:pPr>
        <w:jc w:val="center"/>
        <w:rPr>
          <w:rFonts w:ascii="宋体" w:hAnsi="宋体"/>
          <w:b/>
          <w:sz w:val="36"/>
          <w:szCs w:val="36"/>
        </w:rPr>
      </w:pPr>
    </w:p>
    <w:tbl>
      <w:tblPr>
        <w:tblStyle w:val="7"/>
        <w:tblW w:w="8465" w:type="dxa"/>
        <w:jc w:val="center"/>
        <w:tblInd w:w="1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506"/>
        <w:gridCol w:w="850"/>
        <w:gridCol w:w="5873"/>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425" w:type="dxa"/>
          </w:tcPr>
          <w:p>
            <w:pPr>
              <w:widowControl/>
              <w:spacing w:line="360" w:lineRule="auto"/>
              <w:contextualSpacing/>
              <w:jc w:val="center"/>
              <w:rPr>
                <w:rFonts w:ascii="仿宋" w:hAnsi="仿宋" w:eastAsia="仿宋"/>
                <w:b/>
                <w:sz w:val="24"/>
              </w:rPr>
            </w:pPr>
            <w:r>
              <w:rPr>
                <w:rFonts w:ascii="仿宋" w:hAnsi="仿宋" w:eastAsia="仿宋"/>
                <w:b/>
                <w:sz w:val="24"/>
              </w:rPr>
              <w:t>项目</w:t>
            </w:r>
          </w:p>
        </w:tc>
        <w:tc>
          <w:tcPr>
            <w:tcW w:w="506" w:type="dxa"/>
            <w:vAlign w:val="center"/>
          </w:tcPr>
          <w:p>
            <w:pPr>
              <w:widowControl/>
              <w:spacing w:line="360" w:lineRule="auto"/>
              <w:contextualSpacing/>
              <w:jc w:val="center"/>
              <w:rPr>
                <w:rFonts w:ascii="仿宋" w:hAnsi="仿宋" w:eastAsia="仿宋"/>
                <w:b/>
                <w:sz w:val="24"/>
              </w:rPr>
            </w:pPr>
            <w:r>
              <w:rPr>
                <w:rFonts w:ascii="仿宋" w:hAnsi="仿宋" w:eastAsia="仿宋"/>
                <w:b/>
                <w:sz w:val="24"/>
              </w:rPr>
              <w:t>序号</w:t>
            </w:r>
          </w:p>
        </w:tc>
        <w:tc>
          <w:tcPr>
            <w:tcW w:w="850" w:type="dxa"/>
            <w:vAlign w:val="center"/>
          </w:tcPr>
          <w:p>
            <w:pPr>
              <w:widowControl/>
              <w:spacing w:line="360" w:lineRule="auto"/>
              <w:contextualSpacing/>
              <w:jc w:val="center"/>
              <w:rPr>
                <w:rFonts w:ascii="仿宋" w:hAnsi="仿宋" w:eastAsia="仿宋"/>
                <w:b/>
                <w:sz w:val="24"/>
              </w:rPr>
            </w:pPr>
            <w:r>
              <w:rPr>
                <w:rFonts w:ascii="仿宋" w:hAnsi="仿宋" w:eastAsia="仿宋"/>
                <w:b/>
                <w:sz w:val="24"/>
              </w:rPr>
              <w:t>评审项目</w:t>
            </w:r>
          </w:p>
        </w:tc>
        <w:tc>
          <w:tcPr>
            <w:tcW w:w="5873" w:type="dxa"/>
            <w:vAlign w:val="center"/>
          </w:tcPr>
          <w:p>
            <w:pPr>
              <w:widowControl/>
              <w:spacing w:line="360" w:lineRule="auto"/>
              <w:contextualSpacing/>
              <w:jc w:val="center"/>
              <w:rPr>
                <w:rFonts w:ascii="仿宋" w:hAnsi="仿宋" w:eastAsia="仿宋"/>
                <w:b/>
                <w:sz w:val="24"/>
              </w:rPr>
            </w:pPr>
            <w:r>
              <w:rPr>
                <w:rFonts w:ascii="仿宋" w:hAnsi="仿宋" w:eastAsia="仿宋"/>
                <w:b/>
                <w:sz w:val="24"/>
              </w:rPr>
              <w:t>评审细则</w:t>
            </w:r>
          </w:p>
        </w:tc>
        <w:tc>
          <w:tcPr>
            <w:tcW w:w="811" w:type="dxa"/>
            <w:vAlign w:val="center"/>
          </w:tcPr>
          <w:p>
            <w:pPr>
              <w:widowControl/>
              <w:spacing w:line="360" w:lineRule="auto"/>
              <w:contextualSpacing/>
              <w:jc w:val="center"/>
              <w:rPr>
                <w:rFonts w:ascii="仿宋" w:hAnsi="仿宋" w:eastAsia="仿宋"/>
                <w:b/>
                <w:sz w:val="24"/>
              </w:rPr>
            </w:pPr>
            <w:r>
              <w:rPr>
                <w:rFonts w:ascii="仿宋" w:hAnsi="仿宋" w:eastAsia="仿宋"/>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425" w:type="dxa"/>
            <w:vAlign w:val="center"/>
          </w:tcPr>
          <w:p>
            <w:pPr>
              <w:widowControl/>
              <w:spacing w:line="360" w:lineRule="auto"/>
              <w:contextualSpacing/>
              <w:jc w:val="center"/>
              <w:rPr>
                <w:rFonts w:ascii="仿宋" w:hAnsi="仿宋" w:eastAsia="仿宋"/>
                <w:b/>
                <w:sz w:val="24"/>
              </w:rPr>
            </w:pPr>
            <w:r>
              <w:rPr>
                <w:rFonts w:hint="eastAsia" w:ascii="仿宋" w:hAnsi="仿宋" w:eastAsia="仿宋"/>
                <w:b/>
                <w:sz w:val="24"/>
              </w:rPr>
              <w:t>报价</w:t>
            </w:r>
          </w:p>
        </w:tc>
        <w:tc>
          <w:tcPr>
            <w:tcW w:w="506" w:type="dxa"/>
            <w:vAlign w:val="center"/>
          </w:tcPr>
          <w:p>
            <w:pPr>
              <w:widowControl/>
              <w:spacing w:line="360" w:lineRule="auto"/>
              <w:contextualSpacing/>
              <w:jc w:val="center"/>
              <w:rPr>
                <w:rFonts w:ascii="仿宋" w:hAnsi="仿宋" w:eastAsia="仿宋"/>
                <w:sz w:val="24"/>
              </w:rPr>
            </w:pPr>
            <w:r>
              <w:rPr>
                <w:rFonts w:hint="eastAsia" w:ascii="仿宋" w:hAnsi="仿宋" w:eastAsia="仿宋"/>
                <w:sz w:val="24"/>
              </w:rPr>
              <w:t>1</w:t>
            </w:r>
          </w:p>
        </w:tc>
        <w:tc>
          <w:tcPr>
            <w:tcW w:w="850" w:type="dxa"/>
            <w:vAlign w:val="center"/>
          </w:tcPr>
          <w:p>
            <w:pPr>
              <w:widowControl/>
              <w:spacing w:line="360" w:lineRule="auto"/>
              <w:contextualSpacing/>
              <w:jc w:val="center"/>
              <w:rPr>
                <w:rFonts w:ascii="仿宋" w:hAnsi="仿宋" w:eastAsia="仿宋"/>
                <w:szCs w:val="21"/>
              </w:rPr>
            </w:pPr>
            <w:r>
              <w:rPr>
                <w:rFonts w:ascii="仿宋" w:hAnsi="仿宋" w:eastAsia="仿宋"/>
                <w:szCs w:val="21"/>
              </w:rPr>
              <w:t>资源占用费</w:t>
            </w:r>
          </w:p>
        </w:tc>
        <w:tc>
          <w:tcPr>
            <w:tcW w:w="5873" w:type="dxa"/>
            <w:vAlign w:val="center"/>
          </w:tcPr>
          <w:p>
            <w:pPr>
              <w:snapToGrid w:val="0"/>
              <w:spacing w:line="360" w:lineRule="auto"/>
              <w:rPr>
                <w:rFonts w:ascii="仿宋" w:hAnsi="仿宋" w:eastAsia="仿宋"/>
                <w:szCs w:val="21"/>
              </w:rPr>
            </w:pPr>
            <w:r>
              <w:rPr>
                <w:rFonts w:hint="eastAsia" w:ascii="仿宋" w:hAnsi="仿宋" w:eastAsia="仿宋"/>
                <w:szCs w:val="21"/>
              </w:rPr>
              <w:t>1、基准报价：最高报价为基准报价；</w:t>
            </w:r>
          </w:p>
          <w:p>
            <w:pPr>
              <w:snapToGrid w:val="0"/>
              <w:spacing w:line="360" w:lineRule="auto"/>
              <w:rPr>
                <w:rFonts w:ascii="仿宋" w:hAnsi="仿宋" w:eastAsia="仿宋"/>
                <w:b/>
                <w:sz w:val="24"/>
              </w:rPr>
            </w:pPr>
            <w:r>
              <w:rPr>
                <w:rFonts w:hint="eastAsia" w:ascii="仿宋" w:hAnsi="仿宋" w:eastAsia="仿宋"/>
                <w:szCs w:val="21"/>
              </w:rPr>
              <w:t>2、报价得分＝（该投标人报价/基准报价）×10。</w:t>
            </w:r>
          </w:p>
        </w:tc>
        <w:tc>
          <w:tcPr>
            <w:tcW w:w="811" w:type="dxa"/>
            <w:vAlign w:val="center"/>
          </w:tcPr>
          <w:p>
            <w:pPr>
              <w:widowControl/>
              <w:spacing w:line="360" w:lineRule="auto"/>
              <w:contextualSpacing/>
              <w:jc w:val="center"/>
              <w:rPr>
                <w:rFonts w:ascii="仿宋" w:hAnsi="仿宋" w:eastAsia="仿宋"/>
                <w:szCs w:val="21"/>
              </w:rPr>
            </w:pPr>
            <w:r>
              <w:rPr>
                <w:rFonts w:hint="eastAsia" w:ascii="仿宋" w:hAnsi="仿宋" w:eastAsia="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jc w:val="center"/>
        </w:trPr>
        <w:tc>
          <w:tcPr>
            <w:tcW w:w="425" w:type="dxa"/>
            <w:vMerge w:val="restart"/>
            <w:vAlign w:val="center"/>
          </w:tcPr>
          <w:p>
            <w:pPr>
              <w:widowControl/>
              <w:snapToGrid w:val="0"/>
              <w:jc w:val="center"/>
              <w:rPr>
                <w:rFonts w:ascii="仿宋" w:hAnsi="仿宋" w:eastAsia="仿宋"/>
                <w:b/>
                <w:kern w:val="0"/>
                <w:sz w:val="24"/>
              </w:rPr>
            </w:pPr>
            <w:r>
              <w:rPr>
                <w:rFonts w:hint="eastAsia" w:ascii="仿宋" w:hAnsi="仿宋" w:eastAsia="仿宋"/>
                <w:b/>
                <w:kern w:val="0"/>
                <w:sz w:val="24"/>
              </w:rPr>
              <w:t>商务部分</w:t>
            </w:r>
          </w:p>
        </w:tc>
        <w:tc>
          <w:tcPr>
            <w:tcW w:w="506" w:type="dxa"/>
            <w:vAlign w:val="center"/>
          </w:tcPr>
          <w:p>
            <w:pPr>
              <w:widowControl/>
              <w:snapToGrid w:val="0"/>
              <w:jc w:val="center"/>
              <w:rPr>
                <w:rFonts w:ascii="仿宋" w:hAnsi="仿宋" w:eastAsia="仿宋"/>
                <w:kern w:val="0"/>
                <w:szCs w:val="21"/>
              </w:rPr>
            </w:pPr>
            <w:r>
              <w:rPr>
                <w:rFonts w:hint="eastAsia" w:ascii="仿宋" w:hAnsi="仿宋" w:eastAsia="仿宋"/>
                <w:kern w:val="0"/>
                <w:szCs w:val="21"/>
              </w:rPr>
              <w:t>2</w:t>
            </w:r>
          </w:p>
        </w:tc>
        <w:tc>
          <w:tcPr>
            <w:tcW w:w="850" w:type="dxa"/>
            <w:vAlign w:val="center"/>
          </w:tcPr>
          <w:p>
            <w:pPr>
              <w:snapToGrid w:val="0"/>
              <w:jc w:val="center"/>
              <w:rPr>
                <w:rFonts w:ascii="仿宋" w:hAnsi="仿宋" w:eastAsia="仿宋"/>
                <w:szCs w:val="21"/>
              </w:rPr>
            </w:pPr>
            <w:r>
              <w:rPr>
                <w:rFonts w:hint="eastAsia" w:ascii="仿宋" w:hAnsi="仿宋" w:eastAsia="仿宋"/>
                <w:szCs w:val="21"/>
              </w:rPr>
              <w:t>投标人</w:t>
            </w:r>
          </w:p>
          <w:p>
            <w:pPr>
              <w:snapToGrid w:val="0"/>
              <w:jc w:val="center"/>
              <w:rPr>
                <w:rFonts w:ascii="仿宋" w:hAnsi="仿宋" w:eastAsia="仿宋"/>
                <w:bCs/>
                <w:szCs w:val="21"/>
              </w:rPr>
            </w:pPr>
            <w:r>
              <w:rPr>
                <w:rFonts w:hint="eastAsia" w:ascii="仿宋" w:hAnsi="仿宋" w:eastAsia="仿宋"/>
                <w:szCs w:val="21"/>
              </w:rPr>
              <w:t>财务状况</w:t>
            </w:r>
          </w:p>
        </w:tc>
        <w:tc>
          <w:tcPr>
            <w:tcW w:w="5873" w:type="dxa"/>
            <w:vAlign w:val="center"/>
          </w:tcPr>
          <w:p>
            <w:pPr>
              <w:ind w:firstLine="210" w:firstLineChars="100"/>
              <w:rPr>
                <w:rFonts w:ascii="仿宋" w:hAnsi="仿宋" w:eastAsia="仿宋"/>
                <w:szCs w:val="21"/>
              </w:rPr>
            </w:pPr>
            <w:r>
              <w:rPr>
                <w:rFonts w:hint="eastAsia" w:ascii="仿宋" w:hAnsi="仿宋" w:eastAsia="仿宋"/>
                <w:szCs w:val="21"/>
              </w:rPr>
              <w:t>投标人提供2016、2017年经第三方会计师事务机构出具的审计报告原件，评委根据</w:t>
            </w:r>
            <w:r>
              <w:rPr>
                <w:rFonts w:hint="eastAsia" w:ascii="仿宋" w:hAnsi="仿宋" w:eastAsia="仿宋" w:cs="楷体_GB2312"/>
                <w:szCs w:val="21"/>
              </w:rPr>
              <w:t>资产规模（注册资产、净资产）；经营状况（主营业务收入、净利润、净利润收益率）；偿债能力</w:t>
            </w:r>
            <w:r>
              <w:rPr>
                <w:rFonts w:hint="eastAsia" w:ascii="仿宋" w:hAnsi="仿宋" w:eastAsia="仿宋"/>
                <w:szCs w:val="21"/>
              </w:rPr>
              <w:t>对各投标人横向比较：好：3分，一般：1分，差： 0分。</w:t>
            </w:r>
          </w:p>
        </w:tc>
        <w:tc>
          <w:tcPr>
            <w:tcW w:w="811" w:type="dxa"/>
            <w:vAlign w:val="center"/>
          </w:tcPr>
          <w:p>
            <w:pPr>
              <w:widowControl/>
              <w:spacing w:line="360" w:lineRule="auto"/>
              <w:contextualSpacing/>
              <w:jc w:val="center"/>
              <w:rPr>
                <w:rFonts w:ascii="仿宋" w:hAnsi="仿宋" w:eastAsia="仿宋" w:cs="宋体"/>
                <w:kern w:val="0"/>
                <w:szCs w:val="21"/>
              </w:rPr>
            </w:pPr>
            <w:r>
              <w:rPr>
                <w:rFonts w:hint="eastAsia" w:ascii="仿宋" w:hAnsi="仿宋" w:eastAsia="仿宋"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425" w:type="dxa"/>
            <w:vMerge w:val="continue"/>
          </w:tcPr>
          <w:p>
            <w:pPr>
              <w:widowControl/>
              <w:spacing w:line="360" w:lineRule="auto"/>
              <w:contextualSpacing/>
              <w:jc w:val="center"/>
              <w:rPr>
                <w:rFonts w:ascii="仿宋" w:hAnsi="仿宋" w:eastAsia="仿宋"/>
                <w:kern w:val="0"/>
                <w:szCs w:val="21"/>
              </w:rPr>
            </w:pPr>
          </w:p>
        </w:tc>
        <w:tc>
          <w:tcPr>
            <w:tcW w:w="506" w:type="dxa"/>
            <w:vAlign w:val="center"/>
          </w:tcPr>
          <w:p>
            <w:pPr>
              <w:widowControl/>
              <w:spacing w:line="360" w:lineRule="auto"/>
              <w:contextualSpacing/>
              <w:jc w:val="center"/>
              <w:rPr>
                <w:rFonts w:ascii="仿宋" w:hAnsi="仿宋" w:eastAsia="仿宋"/>
                <w:kern w:val="0"/>
                <w:szCs w:val="21"/>
              </w:rPr>
            </w:pPr>
            <w:r>
              <w:rPr>
                <w:rFonts w:hint="eastAsia" w:ascii="仿宋" w:hAnsi="仿宋" w:eastAsia="仿宋"/>
                <w:kern w:val="0"/>
                <w:szCs w:val="21"/>
              </w:rPr>
              <w:t>3</w:t>
            </w:r>
          </w:p>
        </w:tc>
        <w:tc>
          <w:tcPr>
            <w:tcW w:w="850" w:type="dxa"/>
            <w:vAlign w:val="center"/>
          </w:tcPr>
          <w:p>
            <w:pPr>
              <w:snapToGrid w:val="0"/>
              <w:jc w:val="center"/>
              <w:rPr>
                <w:rFonts w:ascii="仿宋" w:hAnsi="仿宋" w:eastAsia="仿宋"/>
                <w:szCs w:val="21"/>
              </w:rPr>
            </w:pPr>
            <w:r>
              <w:rPr>
                <w:rFonts w:hint="eastAsia" w:ascii="仿宋" w:hAnsi="仿宋" w:eastAsia="仿宋"/>
                <w:szCs w:val="21"/>
              </w:rPr>
              <w:t>投标人</w:t>
            </w:r>
          </w:p>
          <w:p>
            <w:pPr>
              <w:snapToGrid w:val="0"/>
              <w:jc w:val="center"/>
              <w:rPr>
                <w:rFonts w:ascii="仿宋" w:hAnsi="仿宋" w:eastAsia="仿宋"/>
                <w:szCs w:val="21"/>
              </w:rPr>
            </w:pPr>
            <w:r>
              <w:rPr>
                <w:rFonts w:hint="eastAsia" w:ascii="仿宋" w:hAnsi="仿宋" w:eastAsia="仿宋"/>
                <w:szCs w:val="21"/>
              </w:rPr>
              <w:t>企业荣誉</w:t>
            </w:r>
          </w:p>
        </w:tc>
        <w:tc>
          <w:tcPr>
            <w:tcW w:w="5873" w:type="dxa"/>
            <w:vAlign w:val="center"/>
          </w:tcPr>
          <w:p>
            <w:pPr>
              <w:snapToGrid w:val="0"/>
              <w:ind w:firstLine="210" w:firstLineChars="100"/>
              <w:rPr>
                <w:rFonts w:ascii="仿宋" w:hAnsi="仿宋" w:eastAsia="仿宋"/>
                <w:szCs w:val="21"/>
              </w:rPr>
            </w:pPr>
            <w:r>
              <w:rPr>
                <w:rFonts w:hint="eastAsia" w:ascii="仿宋" w:hAnsi="仿宋" w:eastAsia="仿宋"/>
                <w:szCs w:val="21"/>
              </w:rPr>
              <w:t>获得的（县）区级以上政府部门或行业协会颁发的与快递相关的获奖证书、ISO体系认证。</w:t>
            </w:r>
          </w:p>
          <w:p>
            <w:pPr>
              <w:snapToGrid w:val="0"/>
              <w:ind w:firstLine="210" w:firstLineChars="100"/>
              <w:rPr>
                <w:rFonts w:ascii="仿宋" w:hAnsi="仿宋" w:eastAsia="仿宋"/>
                <w:szCs w:val="21"/>
              </w:rPr>
            </w:pPr>
            <w:r>
              <w:rPr>
                <w:rFonts w:ascii="仿宋" w:hAnsi="仿宋" w:eastAsia="仿宋"/>
                <w:szCs w:val="21"/>
              </w:rPr>
              <w:t>每提供一个得</w:t>
            </w:r>
            <w:r>
              <w:rPr>
                <w:rFonts w:hint="eastAsia" w:ascii="仿宋" w:hAnsi="仿宋" w:eastAsia="仿宋"/>
                <w:szCs w:val="21"/>
              </w:rPr>
              <w:t>1分，共8分。须原件备查，不提供或所提供材料不完善的，不得分。</w:t>
            </w:r>
          </w:p>
        </w:tc>
        <w:tc>
          <w:tcPr>
            <w:tcW w:w="811" w:type="dxa"/>
            <w:vAlign w:val="center"/>
          </w:tcPr>
          <w:p>
            <w:pPr>
              <w:widowControl/>
              <w:spacing w:line="360" w:lineRule="auto"/>
              <w:contextualSpacing/>
              <w:jc w:val="center"/>
              <w:rPr>
                <w:rFonts w:ascii="仿宋" w:hAnsi="仿宋" w:eastAsia="仿宋" w:cs="宋体"/>
                <w:kern w:val="0"/>
                <w:szCs w:val="21"/>
              </w:rPr>
            </w:pPr>
            <w:r>
              <w:rPr>
                <w:rFonts w:hint="eastAsia" w:ascii="仿宋" w:hAnsi="仿宋" w:eastAsia="仿宋"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3" w:hRule="atLeast"/>
          <w:jc w:val="center"/>
        </w:trPr>
        <w:tc>
          <w:tcPr>
            <w:tcW w:w="425" w:type="dxa"/>
            <w:vMerge w:val="continue"/>
          </w:tcPr>
          <w:p>
            <w:pPr>
              <w:widowControl/>
              <w:spacing w:line="360" w:lineRule="auto"/>
              <w:contextualSpacing/>
              <w:jc w:val="center"/>
              <w:rPr>
                <w:rFonts w:ascii="仿宋" w:hAnsi="仿宋" w:eastAsia="仿宋"/>
                <w:kern w:val="0"/>
                <w:szCs w:val="21"/>
              </w:rPr>
            </w:pPr>
          </w:p>
        </w:tc>
        <w:tc>
          <w:tcPr>
            <w:tcW w:w="506" w:type="dxa"/>
            <w:vAlign w:val="center"/>
          </w:tcPr>
          <w:p>
            <w:pPr>
              <w:widowControl/>
              <w:spacing w:line="360" w:lineRule="auto"/>
              <w:contextualSpacing/>
              <w:jc w:val="center"/>
              <w:rPr>
                <w:rFonts w:ascii="仿宋" w:hAnsi="仿宋" w:eastAsia="仿宋"/>
                <w:kern w:val="0"/>
                <w:szCs w:val="21"/>
              </w:rPr>
            </w:pPr>
            <w:r>
              <w:rPr>
                <w:rFonts w:hint="eastAsia" w:ascii="仿宋" w:hAnsi="仿宋" w:eastAsia="仿宋"/>
                <w:kern w:val="0"/>
                <w:szCs w:val="21"/>
              </w:rPr>
              <w:t>4</w:t>
            </w:r>
          </w:p>
        </w:tc>
        <w:tc>
          <w:tcPr>
            <w:tcW w:w="850" w:type="dxa"/>
            <w:vAlign w:val="center"/>
          </w:tcPr>
          <w:p>
            <w:pPr>
              <w:snapToGrid w:val="0"/>
              <w:jc w:val="center"/>
              <w:rPr>
                <w:rFonts w:ascii="仿宋" w:hAnsi="仿宋" w:eastAsia="仿宋"/>
                <w:bCs/>
                <w:szCs w:val="21"/>
              </w:rPr>
            </w:pPr>
            <w:r>
              <w:rPr>
                <w:rFonts w:hint="eastAsia" w:ascii="仿宋" w:hAnsi="仿宋" w:eastAsia="仿宋"/>
                <w:bCs/>
                <w:szCs w:val="21"/>
              </w:rPr>
              <w:t>投标人</w:t>
            </w:r>
          </w:p>
          <w:p>
            <w:pPr>
              <w:snapToGrid w:val="0"/>
              <w:jc w:val="center"/>
              <w:rPr>
                <w:rFonts w:ascii="仿宋" w:hAnsi="仿宋" w:eastAsia="仿宋"/>
                <w:bCs/>
                <w:szCs w:val="21"/>
              </w:rPr>
            </w:pPr>
            <w:r>
              <w:rPr>
                <w:rFonts w:hint="eastAsia" w:ascii="仿宋" w:hAnsi="仿宋" w:eastAsia="仿宋"/>
                <w:bCs/>
                <w:szCs w:val="21"/>
              </w:rPr>
              <w:t>业绩</w:t>
            </w:r>
          </w:p>
        </w:tc>
        <w:tc>
          <w:tcPr>
            <w:tcW w:w="5873" w:type="dxa"/>
            <w:vAlign w:val="center"/>
          </w:tcPr>
          <w:p>
            <w:pPr>
              <w:snapToGrid w:val="0"/>
              <w:ind w:firstLine="420" w:firstLineChars="200"/>
              <w:rPr>
                <w:rFonts w:ascii="仿宋" w:hAnsi="仿宋" w:eastAsia="仿宋"/>
                <w:szCs w:val="21"/>
              </w:rPr>
            </w:pPr>
            <w:r>
              <w:rPr>
                <w:rFonts w:hint="eastAsia" w:ascii="仿宋" w:hAnsi="仿宋" w:eastAsia="仿宋"/>
                <w:szCs w:val="21"/>
              </w:rPr>
              <w:t>2015年以来提供服务已满1年及以上的单位快递服务项目的业绩，其中：</w:t>
            </w:r>
          </w:p>
          <w:p>
            <w:pPr>
              <w:pStyle w:val="9"/>
              <w:numPr>
                <w:ilvl w:val="0"/>
                <w:numId w:val="3"/>
              </w:numPr>
              <w:snapToGrid w:val="0"/>
              <w:ind w:left="0" w:firstLineChars="0"/>
              <w:rPr>
                <w:rFonts w:ascii="仿宋" w:hAnsi="仿宋" w:eastAsia="仿宋"/>
                <w:szCs w:val="21"/>
              </w:rPr>
            </w:pPr>
            <w:r>
              <w:rPr>
                <w:rFonts w:hint="eastAsia" w:ascii="仿宋" w:hAnsi="仿宋" w:eastAsia="仿宋"/>
                <w:szCs w:val="21"/>
              </w:rPr>
              <w:t xml:space="preserve">    1、提供服务合同原件，每提供一个得1分，最高得5分；</w:t>
            </w:r>
          </w:p>
          <w:p>
            <w:pPr>
              <w:pStyle w:val="9"/>
              <w:snapToGrid w:val="0"/>
              <w:rPr>
                <w:rFonts w:ascii="仿宋" w:hAnsi="仿宋" w:eastAsia="仿宋"/>
                <w:szCs w:val="21"/>
              </w:rPr>
            </w:pPr>
            <w:r>
              <w:rPr>
                <w:rFonts w:hint="eastAsia" w:ascii="仿宋" w:hAnsi="仿宋" w:eastAsia="仿宋"/>
                <w:szCs w:val="21"/>
              </w:rPr>
              <w:t>2、提供各快递公司业务授权原件，每提供一个得1分，最高得6分；</w:t>
            </w:r>
          </w:p>
          <w:p>
            <w:pPr>
              <w:pStyle w:val="9"/>
              <w:snapToGrid w:val="0"/>
              <w:rPr>
                <w:rFonts w:ascii="仿宋" w:hAnsi="仿宋" w:eastAsia="仿宋"/>
                <w:szCs w:val="21"/>
              </w:rPr>
            </w:pPr>
            <w:r>
              <w:rPr>
                <w:rFonts w:hint="eastAsia" w:ascii="仿宋" w:hAnsi="仿宋" w:eastAsia="仿宋"/>
                <w:szCs w:val="21"/>
              </w:rPr>
              <w:t>3、提供由服务单位出具的满意度调查证明，评价为良好及以上的，每提供一个得2，最高10分。（同一单位的快递服务站不重复计分）；</w:t>
            </w:r>
          </w:p>
          <w:p>
            <w:pPr>
              <w:widowControl/>
              <w:snapToGrid w:val="0"/>
              <w:ind w:firstLine="315" w:firstLineChars="150"/>
              <w:rPr>
                <w:rFonts w:ascii="仿宋" w:hAnsi="仿宋" w:eastAsia="仿宋"/>
                <w:szCs w:val="21"/>
              </w:rPr>
            </w:pPr>
            <w:r>
              <w:rPr>
                <w:rFonts w:hint="eastAsia" w:ascii="仿宋" w:hAnsi="仿宋" w:eastAsia="仿宋"/>
                <w:szCs w:val="21"/>
              </w:rPr>
              <w:t>须同时提供合同、业务授权及用户服务满一年后的满意度调查表（写明用户单位名称、服务人数和用户评价，并加盖用户单位公章）原件，不提供或所提供材料不完善的，不得分。</w:t>
            </w:r>
          </w:p>
        </w:tc>
        <w:tc>
          <w:tcPr>
            <w:tcW w:w="811" w:type="dxa"/>
            <w:vAlign w:val="center"/>
          </w:tcPr>
          <w:p>
            <w:pPr>
              <w:widowControl/>
              <w:spacing w:line="360" w:lineRule="auto"/>
              <w:contextualSpacing/>
              <w:jc w:val="center"/>
              <w:rPr>
                <w:rFonts w:ascii="仿宋" w:hAnsi="仿宋" w:eastAsia="仿宋" w:cs="宋体"/>
                <w:kern w:val="0"/>
                <w:szCs w:val="21"/>
              </w:rPr>
            </w:pPr>
            <w:r>
              <w:rPr>
                <w:rFonts w:hint="eastAsia" w:ascii="仿宋" w:hAnsi="仿宋" w:eastAsia="仿宋" w:cs="宋体"/>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jc w:val="center"/>
        </w:trPr>
        <w:tc>
          <w:tcPr>
            <w:tcW w:w="425" w:type="dxa"/>
            <w:vAlign w:val="center"/>
          </w:tcPr>
          <w:p>
            <w:pPr>
              <w:widowControl/>
              <w:spacing w:line="360" w:lineRule="auto"/>
              <w:contextualSpacing/>
              <w:jc w:val="center"/>
              <w:rPr>
                <w:rFonts w:ascii="仿宋" w:hAnsi="仿宋" w:eastAsia="仿宋"/>
                <w:b/>
                <w:kern w:val="0"/>
                <w:sz w:val="24"/>
              </w:rPr>
            </w:pPr>
            <w:r>
              <w:rPr>
                <w:rFonts w:hint="eastAsia" w:ascii="仿宋" w:hAnsi="仿宋" w:eastAsia="仿宋"/>
                <w:b/>
                <w:kern w:val="0"/>
                <w:sz w:val="24"/>
              </w:rPr>
              <w:t>技术部分</w:t>
            </w:r>
          </w:p>
        </w:tc>
        <w:tc>
          <w:tcPr>
            <w:tcW w:w="506" w:type="dxa"/>
            <w:vAlign w:val="center"/>
          </w:tcPr>
          <w:p>
            <w:pPr>
              <w:widowControl/>
              <w:spacing w:line="360" w:lineRule="auto"/>
              <w:contextualSpacing/>
              <w:jc w:val="center"/>
              <w:rPr>
                <w:rFonts w:ascii="仿宋" w:hAnsi="仿宋" w:eastAsia="仿宋"/>
                <w:kern w:val="0"/>
                <w:szCs w:val="21"/>
              </w:rPr>
            </w:pPr>
            <w:r>
              <w:rPr>
                <w:rFonts w:hint="eastAsia" w:ascii="仿宋" w:hAnsi="仿宋" w:eastAsia="仿宋"/>
                <w:kern w:val="0"/>
                <w:szCs w:val="21"/>
              </w:rPr>
              <w:t>5</w:t>
            </w:r>
          </w:p>
        </w:tc>
        <w:tc>
          <w:tcPr>
            <w:tcW w:w="850" w:type="dxa"/>
            <w:vAlign w:val="center"/>
          </w:tcPr>
          <w:p>
            <w:pPr>
              <w:snapToGrid w:val="0"/>
              <w:jc w:val="center"/>
              <w:rPr>
                <w:rFonts w:ascii="仿宋" w:hAnsi="仿宋" w:eastAsia="仿宋"/>
                <w:bCs/>
                <w:szCs w:val="21"/>
              </w:rPr>
            </w:pPr>
            <w:r>
              <w:rPr>
                <w:rFonts w:hint="eastAsia" w:ascii="仿宋" w:hAnsi="仿宋" w:eastAsia="仿宋" w:cs="宋体"/>
                <w:kern w:val="0"/>
                <w:szCs w:val="21"/>
              </w:rPr>
              <w:t>快递服务站规划建设方案</w:t>
            </w:r>
          </w:p>
        </w:tc>
        <w:tc>
          <w:tcPr>
            <w:tcW w:w="5873" w:type="dxa"/>
            <w:vAlign w:val="center"/>
          </w:tcPr>
          <w:p>
            <w:pPr>
              <w:pStyle w:val="9"/>
              <w:ind w:firstLine="210" w:firstLineChars="100"/>
              <w:rPr>
                <w:rFonts w:ascii="仿宋" w:hAnsi="仿宋" w:eastAsia="仿宋"/>
                <w:szCs w:val="21"/>
              </w:rPr>
            </w:pPr>
            <w:r>
              <w:rPr>
                <w:rFonts w:hint="eastAsia" w:ascii="仿宋" w:hAnsi="仿宋" w:eastAsia="仿宋"/>
                <w:szCs w:val="21"/>
              </w:rPr>
              <w:t>1、快递服务站的规划方案是否完整，区域功能划分是否科学合理、流程是否顺畅。</w:t>
            </w:r>
          </w:p>
          <w:p>
            <w:pPr>
              <w:pStyle w:val="9"/>
              <w:ind w:firstLine="210" w:firstLineChars="100"/>
              <w:rPr>
                <w:rFonts w:ascii="仿宋" w:hAnsi="仿宋" w:eastAsia="仿宋"/>
                <w:szCs w:val="21"/>
              </w:rPr>
            </w:pPr>
            <w:r>
              <w:rPr>
                <w:rFonts w:hint="eastAsia" w:ascii="仿宋" w:hAnsi="仿宋" w:eastAsia="仿宋"/>
                <w:szCs w:val="21"/>
              </w:rPr>
              <w:t>2、改造装修建筑材料是否注重消防安全和绿色环保。</w:t>
            </w:r>
          </w:p>
          <w:p>
            <w:pPr>
              <w:pStyle w:val="9"/>
              <w:numPr>
                <w:ilvl w:val="0"/>
                <w:numId w:val="4"/>
              </w:numPr>
              <w:ind w:left="0" w:firstLineChars="0"/>
              <w:rPr>
                <w:rFonts w:ascii="仿宋" w:hAnsi="仿宋" w:eastAsia="仿宋"/>
                <w:szCs w:val="21"/>
              </w:rPr>
            </w:pPr>
            <w:r>
              <w:rPr>
                <w:rFonts w:hint="eastAsia" w:ascii="仿宋" w:hAnsi="仿宋" w:eastAsia="仿宋"/>
                <w:szCs w:val="21"/>
              </w:rPr>
              <w:t xml:space="preserve">  3、装修美观大方，与周边环境是否协调，收发快件是否便捷、高效等综合情况。</w:t>
            </w:r>
          </w:p>
          <w:p>
            <w:pPr>
              <w:pStyle w:val="9"/>
              <w:numPr>
                <w:ilvl w:val="0"/>
                <w:numId w:val="4"/>
              </w:numPr>
              <w:ind w:left="0" w:firstLineChars="0"/>
              <w:rPr>
                <w:rFonts w:ascii="仿宋" w:hAnsi="仿宋" w:eastAsia="仿宋"/>
                <w:szCs w:val="21"/>
              </w:rPr>
            </w:pPr>
            <w:r>
              <w:rPr>
                <w:rFonts w:hint="eastAsia" w:ascii="仿宋" w:hAnsi="仿宋" w:eastAsia="仿宋"/>
                <w:szCs w:val="21"/>
              </w:rPr>
              <w:t xml:space="preserve">  4、改造装修和硬件设施的投入。</w:t>
            </w:r>
          </w:p>
          <w:p>
            <w:pPr>
              <w:pStyle w:val="9"/>
              <w:numPr>
                <w:ilvl w:val="0"/>
                <w:numId w:val="4"/>
              </w:numPr>
              <w:ind w:left="0" w:firstLineChars="0"/>
              <w:rPr>
                <w:rFonts w:ascii="仿宋" w:hAnsi="仿宋" w:eastAsia="仿宋"/>
                <w:szCs w:val="21"/>
              </w:rPr>
            </w:pPr>
            <w:r>
              <w:rPr>
                <w:rFonts w:hint="eastAsia" w:ascii="仿宋" w:hAnsi="仿宋" w:eastAsia="仿宋"/>
                <w:szCs w:val="21"/>
              </w:rPr>
              <w:t xml:space="preserve">  5、软件系统等方面的投入及投资计划。</w:t>
            </w:r>
          </w:p>
          <w:p>
            <w:pPr>
              <w:snapToGrid w:val="0"/>
              <w:ind w:firstLine="105" w:firstLineChars="50"/>
              <w:rPr>
                <w:rFonts w:ascii="仿宋" w:hAnsi="仿宋" w:eastAsia="仿宋"/>
                <w:szCs w:val="21"/>
              </w:rPr>
            </w:pPr>
            <w:r>
              <w:rPr>
                <w:rFonts w:hint="eastAsia" w:ascii="仿宋" w:hAnsi="仿宋" w:eastAsia="仿宋"/>
                <w:szCs w:val="21"/>
              </w:rPr>
              <w:t>好：10-13分；较好：6-9分；一般：2-5分；差：0-1分。</w:t>
            </w:r>
          </w:p>
        </w:tc>
        <w:tc>
          <w:tcPr>
            <w:tcW w:w="811" w:type="dxa"/>
            <w:vAlign w:val="center"/>
          </w:tcPr>
          <w:p>
            <w:pPr>
              <w:widowControl/>
              <w:spacing w:line="360" w:lineRule="auto"/>
              <w:contextualSpacing/>
              <w:jc w:val="center"/>
              <w:rPr>
                <w:rFonts w:ascii="仿宋" w:hAnsi="仿宋" w:eastAsia="仿宋" w:cs="宋体"/>
                <w:kern w:val="0"/>
                <w:szCs w:val="21"/>
              </w:rPr>
            </w:pPr>
            <w:r>
              <w:rPr>
                <w:rFonts w:hint="eastAsia" w:ascii="仿宋" w:hAnsi="仿宋" w:eastAsia="仿宋" w:cs="宋体"/>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atLeast"/>
          <w:jc w:val="center"/>
        </w:trPr>
        <w:tc>
          <w:tcPr>
            <w:tcW w:w="425" w:type="dxa"/>
            <w:vMerge w:val="restart"/>
            <w:vAlign w:val="center"/>
          </w:tcPr>
          <w:p>
            <w:pPr>
              <w:widowControl/>
              <w:spacing w:line="360" w:lineRule="auto"/>
              <w:contextualSpacing/>
              <w:jc w:val="center"/>
              <w:rPr>
                <w:rFonts w:ascii="仿宋" w:hAnsi="仿宋" w:eastAsia="仿宋"/>
                <w:b/>
                <w:kern w:val="0"/>
                <w:sz w:val="24"/>
              </w:rPr>
            </w:pPr>
            <w:r>
              <w:rPr>
                <w:rFonts w:hint="eastAsia" w:ascii="仿宋" w:hAnsi="仿宋" w:eastAsia="仿宋"/>
                <w:b/>
                <w:kern w:val="0"/>
                <w:sz w:val="24"/>
              </w:rPr>
              <w:t>技术部分</w:t>
            </w:r>
          </w:p>
        </w:tc>
        <w:tc>
          <w:tcPr>
            <w:tcW w:w="506" w:type="dxa"/>
            <w:vAlign w:val="center"/>
          </w:tcPr>
          <w:p>
            <w:pPr>
              <w:widowControl/>
              <w:spacing w:line="360" w:lineRule="auto"/>
              <w:contextualSpacing/>
              <w:jc w:val="center"/>
              <w:rPr>
                <w:rFonts w:ascii="仿宋" w:hAnsi="仿宋" w:eastAsia="仿宋"/>
                <w:kern w:val="0"/>
                <w:szCs w:val="21"/>
              </w:rPr>
            </w:pPr>
            <w:r>
              <w:rPr>
                <w:rFonts w:hint="eastAsia" w:ascii="仿宋" w:hAnsi="仿宋" w:eastAsia="仿宋"/>
                <w:kern w:val="0"/>
                <w:szCs w:val="21"/>
              </w:rPr>
              <w:t>6</w:t>
            </w:r>
          </w:p>
        </w:tc>
        <w:tc>
          <w:tcPr>
            <w:tcW w:w="850" w:type="dxa"/>
            <w:vAlign w:val="center"/>
          </w:tcPr>
          <w:p>
            <w:pPr>
              <w:snapToGrid w:val="0"/>
              <w:jc w:val="center"/>
              <w:rPr>
                <w:rFonts w:ascii="仿宋" w:hAnsi="仿宋" w:eastAsia="仿宋" w:cs="宋体"/>
                <w:kern w:val="0"/>
                <w:szCs w:val="21"/>
              </w:rPr>
            </w:pPr>
            <w:r>
              <w:rPr>
                <w:rFonts w:hint="eastAsia" w:ascii="仿宋" w:hAnsi="仿宋" w:eastAsia="仿宋"/>
                <w:szCs w:val="21"/>
              </w:rPr>
              <w:t>智能快递柜投放情况</w:t>
            </w:r>
          </w:p>
        </w:tc>
        <w:tc>
          <w:tcPr>
            <w:tcW w:w="5873" w:type="dxa"/>
            <w:vAlign w:val="center"/>
          </w:tcPr>
          <w:p>
            <w:pPr>
              <w:ind w:firstLine="315" w:firstLineChars="150"/>
              <w:rPr>
                <w:rFonts w:ascii="仿宋" w:hAnsi="仿宋" w:eastAsia="仿宋"/>
                <w:szCs w:val="21"/>
              </w:rPr>
            </w:pPr>
            <w:r>
              <w:rPr>
                <w:rFonts w:hint="eastAsia" w:ascii="仿宋" w:hAnsi="仿宋" w:eastAsia="仿宋"/>
                <w:szCs w:val="21"/>
              </w:rPr>
              <w:t>参考本校校园面积、人员数量、快递流量，投标人在以快递柜取件为主、服务站货架取件为辅的服务模式下，针对本项目投放的智能快递柜格数情况。</w:t>
            </w:r>
          </w:p>
          <w:p>
            <w:pPr>
              <w:pStyle w:val="9"/>
              <w:ind w:firstLine="210" w:firstLineChars="100"/>
              <w:rPr>
                <w:rFonts w:ascii="仿宋" w:hAnsi="仿宋" w:eastAsia="仿宋"/>
                <w:szCs w:val="21"/>
              </w:rPr>
            </w:pPr>
            <w:r>
              <w:rPr>
                <w:rFonts w:hint="eastAsia" w:ascii="仿宋" w:hAnsi="仿宋" w:eastAsia="仿宋"/>
                <w:szCs w:val="21"/>
              </w:rPr>
              <w:t>基础格数为1000格，得分5分，每增加200格，加1分，本项最高分10分。</w:t>
            </w:r>
          </w:p>
        </w:tc>
        <w:tc>
          <w:tcPr>
            <w:tcW w:w="811" w:type="dxa"/>
            <w:vAlign w:val="center"/>
          </w:tcPr>
          <w:p>
            <w:pPr>
              <w:widowControl/>
              <w:spacing w:line="360" w:lineRule="auto"/>
              <w:contextualSpacing/>
              <w:jc w:val="center"/>
              <w:rPr>
                <w:rFonts w:ascii="仿宋" w:hAnsi="仿宋" w:eastAsia="仿宋" w:cs="宋体"/>
                <w:kern w:val="0"/>
                <w:szCs w:val="21"/>
              </w:rPr>
            </w:pPr>
            <w:r>
              <w:rPr>
                <w:rFonts w:hint="eastAsia" w:ascii="仿宋" w:hAnsi="仿宋" w:eastAsia="仿宋"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jc w:val="center"/>
        </w:trPr>
        <w:tc>
          <w:tcPr>
            <w:tcW w:w="425" w:type="dxa"/>
            <w:vMerge w:val="continue"/>
            <w:vAlign w:val="center"/>
          </w:tcPr>
          <w:p>
            <w:pPr>
              <w:widowControl/>
              <w:spacing w:line="360" w:lineRule="auto"/>
              <w:contextualSpacing/>
              <w:jc w:val="center"/>
              <w:rPr>
                <w:rFonts w:ascii="仿宋" w:hAnsi="仿宋" w:eastAsia="仿宋"/>
                <w:b/>
                <w:kern w:val="0"/>
                <w:sz w:val="24"/>
              </w:rPr>
            </w:pPr>
          </w:p>
        </w:tc>
        <w:tc>
          <w:tcPr>
            <w:tcW w:w="506" w:type="dxa"/>
            <w:vAlign w:val="center"/>
          </w:tcPr>
          <w:p>
            <w:pPr>
              <w:widowControl/>
              <w:spacing w:line="360" w:lineRule="auto"/>
              <w:contextualSpacing/>
              <w:jc w:val="center"/>
              <w:rPr>
                <w:rFonts w:ascii="仿宋" w:hAnsi="仿宋" w:eastAsia="仿宋"/>
                <w:kern w:val="0"/>
                <w:szCs w:val="21"/>
              </w:rPr>
            </w:pPr>
            <w:r>
              <w:rPr>
                <w:rFonts w:hint="eastAsia" w:ascii="仿宋" w:hAnsi="仿宋" w:eastAsia="仿宋"/>
                <w:kern w:val="0"/>
                <w:szCs w:val="21"/>
              </w:rPr>
              <w:t>7</w:t>
            </w:r>
          </w:p>
        </w:tc>
        <w:tc>
          <w:tcPr>
            <w:tcW w:w="850" w:type="dxa"/>
            <w:vAlign w:val="center"/>
          </w:tcPr>
          <w:p>
            <w:pPr>
              <w:snapToGrid w:val="0"/>
              <w:jc w:val="center"/>
              <w:rPr>
                <w:rFonts w:ascii="仿宋" w:hAnsi="仿宋" w:eastAsia="仿宋" w:cs="宋体"/>
                <w:kern w:val="0"/>
                <w:szCs w:val="21"/>
              </w:rPr>
            </w:pPr>
            <w:r>
              <w:rPr>
                <w:rFonts w:hint="eastAsia" w:ascii="仿宋" w:hAnsi="仿宋" w:eastAsia="仿宋"/>
                <w:bCs/>
                <w:szCs w:val="21"/>
              </w:rPr>
              <w:t>运营管理方案</w:t>
            </w:r>
          </w:p>
        </w:tc>
        <w:tc>
          <w:tcPr>
            <w:tcW w:w="5873" w:type="dxa"/>
            <w:vAlign w:val="center"/>
          </w:tcPr>
          <w:p>
            <w:pPr>
              <w:ind w:firstLine="210" w:firstLineChars="100"/>
              <w:rPr>
                <w:rFonts w:ascii="仿宋" w:hAnsi="仿宋" w:eastAsia="仿宋"/>
                <w:szCs w:val="21"/>
              </w:rPr>
            </w:pPr>
            <w:r>
              <w:rPr>
                <w:rFonts w:hint="eastAsia" w:ascii="仿宋" w:hAnsi="仿宋" w:eastAsia="仿宋"/>
                <w:szCs w:val="21"/>
              </w:rPr>
              <w:t>1、快递邮件（包括大件和到付件）的日常操作处理方案，本项最高得分2分；</w:t>
            </w:r>
          </w:p>
          <w:p>
            <w:pPr>
              <w:ind w:firstLine="210" w:firstLineChars="100"/>
              <w:rPr>
                <w:rFonts w:ascii="仿宋" w:hAnsi="仿宋" w:eastAsia="仿宋"/>
                <w:szCs w:val="21"/>
              </w:rPr>
            </w:pPr>
            <w:r>
              <w:rPr>
                <w:rFonts w:hint="eastAsia" w:ascii="仿宋" w:hAnsi="仿宋" w:eastAsia="仿宋"/>
                <w:szCs w:val="21"/>
              </w:rPr>
              <w:t>2、智能快递柜的日常运作维护方案，本项最高得分2分；</w:t>
            </w:r>
          </w:p>
          <w:p>
            <w:pPr>
              <w:ind w:firstLine="210" w:firstLineChars="100"/>
              <w:rPr>
                <w:rFonts w:ascii="仿宋" w:hAnsi="仿宋" w:eastAsia="仿宋"/>
                <w:szCs w:val="21"/>
              </w:rPr>
            </w:pPr>
            <w:r>
              <w:rPr>
                <w:rFonts w:hint="eastAsia" w:ascii="仿宋" w:hAnsi="仿宋" w:eastAsia="仿宋"/>
                <w:szCs w:val="21"/>
              </w:rPr>
              <w:t>3、与学校教学实践、创新创业、勤工俭学岗位的结合程度等运营管理方案，本项最高得分3分；</w:t>
            </w:r>
          </w:p>
          <w:p>
            <w:pPr>
              <w:ind w:firstLine="210" w:firstLineChars="100"/>
              <w:rPr>
                <w:rFonts w:ascii="仿宋" w:hAnsi="仿宋" w:eastAsia="仿宋"/>
                <w:szCs w:val="21"/>
              </w:rPr>
            </w:pPr>
            <w:r>
              <w:rPr>
                <w:rFonts w:hint="eastAsia" w:ascii="仿宋" w:hAnsi="仿宋" w:eastAsia="仿宋"/>
                <w:szCs w:val="21"/>
              </w:rPr>
              <w:t>4、日常服务的组织机构情况，包括管理人员和技术人员的综合素质和职业技能水平，服务团队的安全文明、服务礼仪培训。本项最高得分3分</w:t>
            </w:r>
          </w:p>
          <w:p>
            <w:pPr>
              <w:ind w:firstLine="420" w:firstLineChars="200"/>
              <w:rPr>
                <w:rFonts w:ascii="仿宋" w:hAnsi="仿宋" w:eastAsia="仿宋"/>
                <w:szCs w:val="21"/>
              </w:rPr>
            </w:pPr>
            <w:r>
              <w:rPr>
                <w:rFonts w:hint="eastAsia" w:ascii="仿宋" w:hAnsi="仿宋" w:eastAsia="仿宋"/>
                <w:szCs w:val="21"/>
              </w:rPr>
              <w:t>(提供投入本项目人员构成及所有人员的身份证、职称/职业资格证书原件，不提供或所提供材料不完善的，不得分。)</w:t>
            </w:r>
          </w:p>
          <w:p>
            <w:pPr>
              <w:pStyle w:val="9"/>
              <w:ind w:firstLine="210" w:firstLineChars="100"/>
              <w:rPr>
                <w:rFonts w:ascii="仿宋" w:hAnsi="仿宋" w:eastAsia="仿宋"/>
                <w:szCs w:val="21"/>
              </w:rPr>
            </w:pPr>
          </w:p>
        </w:tc>
        <w:tc>
          <w:tcPr>
            <w:tcW w:w="811" w:type="dxa"/>
            <w:vAlign w:val="center"/>
          </w:tcPr>
          <w:p>
            <w:pPr>
              <w:widowControl/>
              <w:spacing w:line="360" w:lineRule="auto"/>
              <w:contextualSpacing/>
              <w:jc w:val="center"/>
              <w:rPr>
                <w:rFonts w:ascii="仿宋" w:hAnsi="仿宋" w:eastAsia="仿宋" w:cs="宋体"/>
                <w:kern w:val="0"/>
                <w:szCs w:val="21"/>
              </w:rPr>
            </w:pPr>
            <w:r>
              <w:rPr>
                <w:rFonts w:hint="eastAsia" w:ascii="仿宋" w:hAnsi="仿宋" w:eastAsia="仿宋"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jc w:val="center"/>
        </w:trPr>
        <w:tc>
          <w:tcPr>
            <w:tcW w:w="425" w:type="dxa"/>
            <w:vMerge w:val="continue"/>
            <w:vAlign w:val="center"/>
          </w:tcPr>
          <w:p>
            <w:pPr>
              <w:widowControl/>
              <w:spacing w:line="360" w:lineRule="auto"/>
              <w:contextualSpacing/>
              <w:jc w:val="center"/>
              <w:rPr>
                <w:rFonts w:ascii="仿宋" w:hAnsi="仿宋" w:eastAsia="仿宋"/>
                <w:b/>
                <w:kern w:val="0"/>
                <w:sz w:val="24"/>
              </w:rPr>
            </w:pPr>
          </w:p>
        </w:tc>
        <w:tc>
          <w:tcPr>
            <w:tcW w:w="506" w:type="dxa"/>
            <w:vAlign w:val="center"/>
          </w:tcPr>
          <w:p>
            <w:pPr>
              <w:widowControl/>
              <w:spacing w:line="360" w:lineRule="auto"/>
              <w:contextualSpacing/>
              <w:jc w:val="center"/>
              <w:rPr>
                <w:rFonts w:ascii="仿宋" w:hAnsi="仿宋" w:eastAsia="仿宋"/>
                <w:kern w:val="0"/>
                <w:szCs w:val="21"/>
              </w:rPr>
            </w:pPr>
            <w:r>
              <w:rPr>
                <w:rFonts w:hint="eastAsia" w:ascii="仿宋" w:hAnsi="仿宋" w:eastAsia="仿宋"/>
                <w:kern w:val="0"/>
                <w:szCs w:val="21"/>
              </w:rPr>
              <w:t>8</w:t>
            </w:r>
          </w:p>
        </w:tc>
        <w:tc>
          <w:tcPr>
            <w:tcW w:w="850" w:type="dxa"/>
            <w:vAlign w:val="center"/>
          </w:tcPr>
          <w:p>
            <w:pPr>
              <w:snapToGrid w:val="0"/>
              <w:jc w:val="center"/>
              <w:rPr>
                <w:rFonts w:ascii="仿宋" w:hAnsi="仿宋" w:eastAsia="仿宋"/>
                <w:bCs/>
                <w:szCs w:val="21"/>
              </w:rPr>
            </w:pPr>
            <w:r>
              <w:rPr>
                <w:rFonts w:hint="eastAsia" w:ascii="仿宋" w:hAnsi="仿宋" w:eastAsia="仿宋"/>
                <w:szCs w:val="21"/>
              </w:rPr>
              <w:t>快递资源整合方案</w:t>
            </w:r>
          </w:p>
        </w:tc>
        <w:tc>
          <w:tcPr>
            <w:tcW w:w="5873" w:type="dxa"/>
            <w:vAlign w:val="center"/>
          </w:tcPr>
          <w:p>
            <w:pPr>
              <w:ind w:firstLine="420" w:firstLineChars="200"/>
              <w:rPr>
                <w:rFonts w:ascii="仿宋" w:hAnsi="仿宋" w:eastAsia="仿宋"/>
                <w:szCs w:val="21"/>
              </w:rPr>
            </w:pPr>
            <w:r>
              <w:rPr>
                <w:rFonts w:hint="eastAsia" w:ascii="仿宋" w:hAnsi="仿宋" w:eastAsia="仿宋"/>
                <w:szCs w:val="21"/>
              </w:rPr>
              <w:t>对目前各快递公司的整合计划和时间进度表，计划设置是否合理，可行性如何。</w:t>
            </w:r>
          </w:p>
          <w:p>
            <w:pPr>
              <w:ind w:firstLine="210" w:firstLineChars="100"/>
              <w:rPr>
                <w:rFonts w:ascii="仿宋" w:hAnsi="仿宋" w:eastAsia="仿宋"/>
                <w:szCs w:val="21"/>
              </w:rPr>
            </w:pPr>
            <w:r>
              <w:rPr>
                <w:rFonts w:hint="eastAsia" w:ascii="仿宋" w:hAnsi="仿宋" w:eastAsia="仿宋"/>
                <w:szCs w:val="21"/>
              </w:rPr>
              <w:t>横向比较：好：5分；较好：3分；一般：1分；差：0分。</w:t>
            </w:r>
          </w:p>
        </w:tc>
        <w:tc>
          <w:tcPr>
            <w:tcW w:w="811" w:type="dxa"/>
            <w:vAlign w:val="center"/>
          </w:tcPr>
          <w:p>
            <w:pPr>
              <w:widowControl/>
              <w:spacing w:line="360" w:lineRule="auto"/>
              <w:contextualSpacing/>
              <w:jc w:val="center"/>
              <w:rPr>
                <w:rFonts w:ascii="仿宋" w:hAnsi="仿宋" w:eastAsia="仿宋" w:cs="宋体"/>
                <w:kern w:val="0"/>
                <w:szCs w:val="21"/>
              </w:rPr>
            </w:pPr>
            <w:r>
              <w:rPr>
                <w:rFonts w:hint="eastAsia" w:ascii="仿宋" w:hAnsi="仿宋" w:eastAsia="仿宋"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425" w:type="dxa"/>
            <w:vMerge w:val="continue"/>
            <w:vAlign w:val="center"/>
          </w:tcPr>
          <w:p>
            <w:pPr>
              <w:widowControl/>
              <w:spacing w:line="360" w:lineRule="auto"/>
              <w:contextualSpacing/>
              <w:jc w:val="center"/>
              <w:rPr>
                <w:rFonts w:ascii="仿宋" w:hAnsi="仿宋" w:eastAsia="仿宋"/>
                <w:b/>
                <w:kern w:val="0"/>
                <w:sz w:val="24"/>
              </w:rPr>
            </w:pPr>
          </w:p>
        </w:tc>
        <w:tc>
          <w:tcPr>
            <w:tcW w:w="506" w:type="dxa"/>
            <w:vAlign w:val="center"/>
          </w:tcPr>
          <w:p>
            <w:pPr>
              <w:widowControl/>
              <w:spacing w:line="360" w:lineRule="auto"/>
              <w:contextualSpacing/>
              <w:jc w:val="center"/>
              <w:rPr>
                <w:rFonts w:ascii="仿宋" w:hAnsi="仿宋" w:eastAsia="仿宋"/>
                <w:kern w:val="0"/>
                <w:szCs w:val="21"/>
              </w:rPr>
            </w:pPr>
            <w:r>
              <w:rPr>
                <w:rFonts w:hint="eastAsia" w:ascii="仿宋" w:hAnsi="仿宋" w:eastAsia="仿宋"/>
                <w:kern w:val="0"/>
                <w:szCs w:val="21"/>
              </w:rPr>
              <w:t>9</w:t>
            </w:r>
          </w:p>
        </w:tc>
        <w:tc>
          <w:tcPr>
            <w:tcW w:w="850" w:type="dxa"/>
            <w:vAlign w:val="center"/>
          </w:tcPr>
          <w:p>
            <w:pPr>
              <w:snapToGrid w:val="0"/>
              <w:jc w:val="center"/>
              <w:rPr>
                <w:rFonts w:ascii="仿宋" w:hAnsi="仿宋" w:eastAsia="仿宋"/>
                <w:szCs w:val="21"/>
              </w:rPr>
            </w:pPr>
            <w:r>
              <w:rPr>
                <w:rFonts w:hint="eastAsia" w:ascii="仿宋" w:hAnsi="仿宋" w:eastAsia="仿宋" w:cs="宋体"/>
                <w:kern w:val="0"/>
                <w:szCs w:val="21"/>
              </w:rPr>
              <w:t>应急处理能力</w:t>
            </w:r>
          </w:p>
        </w:tc>
        <w:tc>
          <w:tcPr>
            <w:tcW w:w="5873" w:type="dxa"/>
            <w:vAlign w:val="center"/>
          </w:tcPr>
          <w:p>
            <w:pPr>
              <w:adjustRightInd w:val="0"/>
              <w:snapToGrid w:val="0"/>
              <w:ind w:firstLine="210" w:firstLineChars="100"/>
              <w:rPr>
                <w:rFonts w:ascii="仿宋" w:hAnsi="仿宋" w:eastAsia="仿宋"/>
                <w:szCs w:val="21"/>
              </w:rPr>
            </w:pPr>
            <w:r>
              <w:rPr>
                <w:rFonts w:hint="eastAsia" w:ascii="仿宋" w:hAnsi="仿宋" w:eastAsia="仿宋"/>
                <w:szCs w:val="21"/>
              </w:rPr>
              <w:t>发生纠纷、投诉以及火灾、安全事故等突发情况的应急预案和应对措施。</w:t>
            </w:r>
          </w:p>
          <w:p>
            <w:pPr>
              <w:ind w:firstLine="420" w:firstLineChars="200"/>
              <w:rPr>
                <w:rFonts w:ascii="仿宋" w:hAnsi="仿宋" w:eastAsia="仿宋"/>
                <w:szCs w:val="21"/>
              </w:rPr>
            </w:pPr>
            <w:r>
              <w:rPr>
                <w:rFonts w:hint="eastAsia" w:ascii="仿宋" w:hAnsi="仿宋" w:eastAsia="仿宋"/>
                <w:szCs w:val="21"/>
              </w:rPr>
              <w:t>横向比较：好：5分；较好：3分；一般：1分；差：0分。</w:t>
            </w:r>
          </w:p>
        </w:tc>
        <w:tc>
          <w:tcPr>
            <w:tcW w:w="811" w:type="dxa"/>
            <w:vAlign w:val="center"/>
          </w:tcPr>
          <w:p>
            <w:pPr>
              <w:widowControl/>
              <w:spacing w:line="360" w:lineRule="auto"/>
              <w:contextualSpacing/>
              <w:jc w:val="center"/>
              <w:rPr>
                <w:rFonts w:ascii="仿宋" w:hAnsi="仿宋" w:eastAsia="仿宋" w:cs="宋体"/>
                <w:kern w:val="0"/>
                <w:szCs w:val="21"/>
              </w:rPr>
            </w:pPr>
            <w:r>
              <w:rPr>
                <w:rFonts w:hint="eastAsia" w:ascii="仿宋" w:hAnsi="仿宋" w:eastAsia="仿宋"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425" w:type="dxa"/>
            <w:vMerge w:val="continue"/>
            <w:vAlign w:val="center"/>
          </w:tcPr>
          <w:p>
            <w:pPr>
              <w:widowControl/>
              <w:spacing w:line="360" w:lineRule="auto"/>
              <w:contextualSpacing/>
              <w:jc w:val="center"/>
              <w:rPr>
                <w:rFonts w:ascii="仿宋" w:hAnsi="仿宋" w:eastAsia="仿宋"/>
                <w:b/>
                <w:kern w:val="0"/>
                <w:sz w:val="24"/>
              </w:rPr>
            </w:pPr>
          </w:p>
        </w:tc>
        <w:tc>
          <w:tcPr>
            <w:tcW w:w="506" w:type="dxa"/>
            <w:vAlign w:val="center"/>
          </w:tcPr>
          <w:p>
            <w:pPr>
              <w:widowControl/>
              <w:spacing w:line="360" w:lineRule="auto"/>
              <w:contextualSpacing/>
              <w:jc w:val="center"/>
              <w:rPr>
                <w:rFonts w:ascii="仿宋" w:hAnsi="仿宋" w:eastAsia="仿宋"/>
                <w:kern w:val="0"/>
                <w:szCs w:val="21"/>
              </w:rPr>
            </w:pPr>
            <w:r>
              <w:rPr>
                <w:rFonts w:hint="eastAsia" w:ascii="仿宋" w:hAnsi="仿宋" w:eastAsia="仿宋"/>
                <w:kern w:val="0"/>
                <w:szCs w:val="21"/>
              </w:rPr>
              <w:t>10</w:t>
            </w:r>
          </w:p>
        </w:tc>
        <w:tc>
          <w:tcPr>
            <w:tcW w:w="850" w:type="dxa"/>
            <w:vAlign w:val="center"/>
          </w:tcPr>
          <w:p>
            <w:pPr>
              <w:snapToGrid w:val="0"/>
              <w:jc w:val="center"/>
              <w:rPr>
                <w:rFonts w:ascii="仿宋" w:hAnsi="仿宋" w:eastAsia="仿宋" w:cs="宋体"/>
                <w:kern w:val="0"/>
                <w:szCs w:val="21"/>
              </w:rPr>
            </w:pPr>
            <w:r>
              <w:rPr>
                <w:rFonts w:hint="eastAsia" w:ascii="仿宋" w:hAnsi="仿宋" w:eastAsia="仿宋" w:cs="宋体"/>
                <w:kern w:val="0"/>
                <w:szCs w:val="21"/>
              </w:rPr>
              <w:t>服务承诺</w:t>
            </w:r>
          </w:p>
        </w:tc>
        <w:tc>
          <w:tcPr>
            <w:tcW w:w="5873" w:type="dxa"/>
            <w:vAlign w:val="center"/>
          </w:tcPr>
          <w:p>
            <w:pPr>
              <w:adjustRightInd w:val="0"/>
              <w:snapToGrid w:val="0"/>
              <w:ind w:firstLine="315" w:firstLineChars="150"/>
              <w:rPr>
                <w:rFonts w:ascii="仿宋" w:hAnsi="仿宋" w:eastAsia="仿宋"/>
                <w:szCs w:val="21"/>
              </w:rPr>
            </w:pPr>
            <w:r>
              <w:rPr>
                <w:rFonts w:hint="eastAsia" w:ascii="仿宋" w:hAnsi="仿宋" w:eastAsia="仿宋"/>
                <w:szCs w:val="21"/>
              </w:rPr>
              <w:t>针对本项目的服务承诺，是否全面、可行。</w:t>
            </w:r>
          </w:p>
          <w:p>
            <w:pPr>
              <w:adjustRightInd w:val="0"/>
              <w:snapToGrid w:val="0"/>
              <w:rPr>
                <w:rFonts w:ascii="仿宋" w:hAnsi="仿宋" w:eastAsia="仿宋"/>
                <w:szCs w:val="21"/>
              </w:rPr>
            </w:pPr>
            <w:r>
              <w:rPr>
                <w:rFonts w:hint="eastAsia" w:ascii="仿宋" w:hAnsi="仿宋" w:eastAsia="仿宋"/>
                <w:szCs w:val="21"/>
              </w:rPr>
              <w:t>横向比较：好：5分；较好：3分；一般：1分；差：0分。</w:t>
            </w:r>
          </w:p>
        </w:tc>
        <w:tc>
          <w:tcPr>
            <w:tcW w:w="811" w:type="dxa"/>
            <w:vAlign w:val="center"/>
          </w:tcPr>
          <w:p>
            <w:pPr>
              <w:widowControl/>
              <w:spacing w:line="360" w:lineRule="auto"/>
              <w:contextualSpacing/>
              <w:jc w:val="center"/>
              <w:rPr>
                <w:rFonts w:ascii="仿宋" w:hAnsi="仿宋" w:eastAsia="仿宋" w:cs="宋体"/>
                <w:kern w:val="0"/>
                <w:szCs w:val="21"/>
              </w:rPr>
            </w:pPr>
            <w:r>
              <w:rPr>
                <w:rFonts w:hint="eastAsia" w:ascii="仿宋" w:hAnsi="仿宋" w:eastAsia="仿宋" w:cs="宋体"/>
                <w:kern w:val="0"/>
                <w:szCs w:val="21"/>
              </w:rPr>
              <w:t>5</w:t>
            </w:r>
          </w:p>
        </w:tc>
      </w:tr>
    </w:tbl>
    <w:p>
      <w:pPr>
        <w:spacing w:line="440" w:lineRule="exact"/>
      </w:pPr>
    </w:p>
    <w:p/>
    <w:sectPr>
      <w:headerReference r:id="rId6" w:type="default"/>
      <w:footerReference r:id="rId7" w:type="default"/>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16</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0E3"/>
    <w:multiLevelType w:val="multilevel"/>
    <w:tmpl w:val="27CD10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DC733D"/>
    <w:multiLevelType w:val="multilevel"/>
    <w:tmpl w:val="3CDC733D"/>
    <w:lvl w:ilvl="0" w:tentative="0">
      <w:start w:val="1"/>
      <w:numFmt w:val="bullet"/>
      <w:lvlText w:val=""/>
      <w:lvlJc w:val="left"/>
      <w:pPr>
        <w:tabs>
          <w:tab w:val="left" w:pos="360"/>
        </w:tabs>
        <w:ind w:left="360" w:hanging="36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5EE7041"/>
    <w:multiLevelType w:val="multilevel"/>
    <w:tmpl w:val="45EE704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2396461"/>
    <w:multiLevelType w:val="multilevel"/>
    <w:tmpl w:val="623964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602E6"/>
    <w:rsid w:val="445602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 w:type="character" w:styleId="6">
    <w:name w:val="page number"/>
    <w:basedOn w:val="4"/>
    <w:qFormat/>
    <w:uiPriority w:val="0"/>
  </w:style>
  <w:style w:type="paragraph" w:styleId="8">
    <w:name w:val="List Paragraph"/>
    <w:basedOn w:val="1"/>
    <w:qFormat/>
    <w:uiPriority w:val="0"/>
    <w:pPr>
      <w:ind w:firstLine="420" w:firstLineChars="200"/>
    </w:pPr>
    <w:rPr>
      <w:rFonts w:ascii="Calibri" w:hAnsi="Calibri"/>
      <w:szCs w:val="22"/>
    </w:rPr>
  </w:style>
  <w:style w:type="paragraph" w:customStyle="1" w:styleId="9">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2018-07-23T00:16:00Z</dcterms:created>
  <dc:creator>Administrator</dc:creator>
  <cp:lastModifiedBy>Administrator</cp:lastModifiedBy>
  <dcterms:modified xsi:type="dcterms:W3CDTF">2018-07-23T00:19:15Z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